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b w:val="0"/>
          <w:caps w:val="0"/>
          <w:color w:val="auto"/>
          <w:sz w:val="18"/>
        </w:rPr>
        <w:id w:val="-1457021849"/>
        <w:docPartObj>
          <w:docPartGallery w:val="Cover Pages"/>
          <w:docPartUnique/>
        </w:docPartObj>
      </w:sdtPr>
      <w:sdtEndPr/>
      <w:sdtContent>
        <w:p w14:paraId="0CB72139" w14:textId="77777777" w:rsidR="003B5620" w:rsidRPr="00664B9F" w:rsidRDefault="003B5620" w:rsidP="003B5620">
          <w:pPr>
            <w:pStyle w:val="DNVGL-Cover-ProjectName"/>
            <w:rPr>
              <w:sz w:val="30"/>
              <w:szCs w:val="22"/>
            </w:rPr>
          </w:pPr>
        </w:p>
        <w:p w14:paraId="68824598" w14:textId="77777777" w:rsidR="000B11E8" w:rsidRDefault="003B5620" w:rsidP="003B5620">
          <w:pPr>
            <w:pStyle w:val="DNVGL-Cover-ProjectName"/>
            <w:rPr>
              <w:rFonts w:ascii="Calibri Light" w:hAnsi="Calibri Light"/>
              <w:bCs/>
              <w:caps w:val="0"/>
              <w:color w:val="00B1EC"/>
              <w:sz w:val="56"/>
            </w:rPr>
          </w:pPr>
          <w:r>
            <w:rPr>
              <w:rFonts w:ascii="Calibri Light" w:hAnsi="Calibri Light"/>
              <w:bCs/>
              <w:caps w:val="0"/>
              <w:color w:val="00B1EC"/>
              <w:sz w:val="56"/>
            </w:rPr>
            <w:t xml:space="preserve">Renewable Heating and Cooling </w:t>
          </w:r>
        </w:p>
        <w:p w14:paraId="68B4D9C5" w14:textId="77777777" w:rsidR="003B5620" w:rsidRPr="005B027E" w:rsidRDefault="003B5620" w:rsidP="003B5620">
          <w:pPr>
            <w:pStyle w:val="DNVGL-Cover-ProjectName"/>
            <w:rPr>
              <w:rFonts w:ascii="Calibri Light" w:hAnsi="Calibri Light"/>
              <w:bCs/>
              <w:caps w:val="0"/>
              <w:color w:val="00B1EC"/>
              <w:sz w:val="56"/>
            </w:rPr>
          </w:pPr>
          <w:r>
            <w:rPr>
              <w:rFonts w:ascii="Calibri Light" w:hAnsi="Calibri Light"/>
              <w:bCs/>
              <w:caps w:val="0"/>
              <w:color w:val="00B1EC"/>
              <w:sz w:val="56"/>
            </w:rPr>
            <w:t>Best Practice Action Guide</w:t>
          </w:r>
        </w:p>
        <w:p w14:paraId="7D133693" w14:textId="77777777" w:rsidR="003B5620" w:rsidRPr="00124099" w:rsidRDefault="003B5620" w:rsidP="003B5620">
          <w:pPr>
            <w:pStyle w:val="DNVGL-Cover-ProjectName"/>
            <w:rPr>
              <w:b w:val="0"/>
              <w:lang w:eastAsia="en-US"/>
            </w:rPr>
          </w:pPr>
          <w:r>
            <w:rPr>
              <w:b w:val="0"/>
              <w:lang w:eastAsia="en-US"/>
            </w:rPr>
            <w:t xml:space="preserve">  </w:t>
          </w:r>
        </w:p>
        <w:p w14:paraId="6521A7B3" w14:textId="77777777" w:rsidR="003B5620" w:rsidRDefault="003B5620" w:rsidP="003B5620">
          <w:pPr>
            <w:pStyle w:val="DNVGL-Cover-ProjectName"/>
            <w:rPr>
              <w:bCs/>
              <w:caps w:val="0"/>
              <w:color w:val="00B1EC"/>
              <w:sz w:val="56"/>
            </w:rPr>
          </w:pPr>
        </w:p>
        <w:p w14:paraId="572B796F" w14:textId="77777777" w:rsidR="00D551B4" w:rsidRDefault="000B11E8" w:rsidP="003B5620">
          <w:pPr>
            <w:pStyle w:val="DNVGL-Cover-ProjectName"/>
            <w:rPr>
              <w:bCs/>
              <w:caps w:val="0"/>
              <w:color w:val="00B1EC"/>
              <w:sz w:val="56"/>
            </w:rPr>
          </w:pPr>
          <w:r w:rsidRPr="00124099">
            <w:rPr>
              <w:bCs/>
              <w:caps w:val="0"/>
              <w:noProof/>
              <w:color w:val="00B1EC"/>
              <w:sz w:val="56"/>
              <w:lang w:eastAsia="en-US"/>
            </w:rPr>
            <w:drawing>
              <wp:anchor distT="0" distB="0" distL="114300" distR="114300" simplePos="0" relativeHeight="251663360" behindDoc="0" locked="0" layoutInCell="1" allowOverlap="1" wp14:anchorId="5BB1620A" wp14:editId="3F0AF7D1">
                <wp:simplePos x="0" y="0"/>
                <wp:positionH relativeFrom="column">
                  <wp:posOffset>-472440</wp:posOffset>
                </wp:positionH>
                <wp:positionV relativeFrom="paragraph">
                  <wp:posOffset>593090</wp:posOffset>
                </wp:positionV>
                <wp:extent cx="6915150" cy="2209800"/>
                <wp:effectExtent l="0" t="0" r="0" b="0"/>
                <wp:wrapThrough wrapText="bothSides">
                  <wp:wrapPolygon edited="0">
                    <wp:start x="0" y="0"/>
                    <wp:lineTo x="0" y="21414"/>
                    <wp:lineTo x="21540" y="21414"/>
                    <wp:lineTo x="21540" y="0"/>
                    <wp:lineTo x="0" y="0"/>
                  </wp:wrapPolygon>
                </wp:wrapThrough>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15150" cy="22098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anchor>
            </w:drawing>
          </w:r>
        </w:p>
        <w:p w14:paraId="39DE7762" w14:textId="77777777" w:rsidR="003B5620" w:rsidRDefault="003B5620" w:rsidP="003B5620">
          <w:pPr>
            <w:pStyle w:val="DNVGL-Cover-ProjectName"/>
            <w:rPr>
              <w:bCs/>
              <w:caps w:val="0"/>
              <w:color w:val="00B1EC"/>
              <w:sz w:val="56"/>
            </w:rPr>
          </w:pPr>
        </w:p>
        <w:p w14:paraId="2696BF33" w14:textId="77777777" w:rsidR="003B5620" w:rsidRDefault="003B5620" w:rsidP="003B5620">
          <w:pPr>
            <w:pStyle w:val="DNVGL-Cover-ProjectName"/>
            <w:rPr>
              <w:bCs/>
              <w:caps w:val="0"/>
              <w:color w:val="00B1EC"/>
              <w:sz w:val="56"/>
            </w:rPr>
          </w:pPr>
        </w:p>
        <w:p w14:paraId="0031BDC8" w14:textId="77777777" w:rsidR="003B5620" w:rsidRDefault="003B5620" w:rsidP="003B5620">
          <w:pPr>
            <w:pStyle w:val="DNVGL-Cover-ProjectName"/>
            <w:rPr>
              <w:bCs/>
              <w:caps w:val="0"/>
              <w:color w:val="00B1EC"/>
              <w:sz w:val="56"/>
            </w:rPr>
          </w:pPr>
        </w:p>
        <w:p w14:paraId="0F4A4241" w14:textId="77777777" w:rsidR="003B5620" w:rsidRDefault="003B5620" w:rsidP="003B5620">
          <w:pPr>
            <w:pStyle w:val="DNVGL-Cover-ProjectName"/>
            <w:rPr>
              <w:bCs/>
              <w:caps w:val="0"/>
              <w:color w:val="00B1EC"/>
              <w:sz w:val="28"/>
              <w:szCs w:val="28"/>
            </w:rPr>
          </w:pPr>
        </w:p>
        <w:p w14:paraId="2EDC6B9E" w14:textId="77777777" w:rsidR="00C84476" w:rsidRDefault="003B5620" w:rsidP="003B5620">
          <w:pPr>
            <w:pStyle w:val="DNVGL-Details"/>
            <w:rPr>
              <w:sz w:val="28"/>
              <w:szCs w:val="28"/>
            </w:rPr>
          </w:pPr>
          <w:r>
            <w:rPr>
              <w:sz w:val="28"/>
              <w:szCs w:val="28"/>
            </w:rPr>
            <w:t xml:space="preserve">Funded by </w:t>
          </w:r>
          <w:r w:rsidR="00A364D2">
            <w:rPr>
              <w:sz w:val="28"/>
              <w:szCs w:val="28"/>
            </w:rPr>
            <w:t xml:space="preserve">the </w:t>
          </w:r>
          <w:r>
            <w:rPr>
              <w:sz w:val="28"/>
              <w:szCs w:val="28"/>
            </w:rPr>
            <w:t>U</w:t>
          </w:r>
          <w:r w:rsidR="00A364D2">
            <w:rPr>
              <w:sz w:val="28"/>
              <w:szCs w:val="28"/>
            </w:rPr>
            <w:t>rban Sustainability Directors Network and the Carbon Neutral Cities Alliance</w:t>
          </w:r>
          <w:r w:rsidRPr="003F7BD1">
            <w:rPr>
              <w:sz w:val="28"/>
              <w:szCs w:val="28"/>
            </w:rPr>
            <w:t xml:space="preserve"> </w:t>
          </w:r>
          <w:r w:rsidR="000B11E8">
            <w:rPr>
              <w:sz w:val="28"/>
              <w:szCs w:val="28"/>
            </w:rPr>
            <w:t>Innovation Fund</w:t>
          </w:r>
          <w:r w:rsidR="00A364D2">
            <w:rPr>
              <w:sz w:val="28"/>
              <w:szCs w:val="28"/>
            </w:rPr>
            <w:t>s</w:t>
          </w:r>
        </w:p>
        <w:p w14:paraId="5919507D" w14:textId="77777777" w:rsidR="000B11E8" w:rsidRPr="000B11E8" w:rsidRDefault="000B11E8" w:rsidP="003B5620">
          <w:pPr>
            <w:pStyle w:val="DNVGL-Details"/>
            <w:rPr>
              <w:sz w:val="22"/>
              <w:szCs w:val="22"/>
            </w:rPr>
          </w:pPr>
          <w:r w:rsidRPr="000B11E8">
            <w:rPr>
              <w:sz w:val="22"/>
              <w:szCs w:val="22"/>
            </w:rPr>
            <w:t>December 29, 2017</w:t>
          </w:r>
        </w:p>
        <w:p w14:paraId="3B31B163" w14:textId="77777777" w:rsidR="003B5620" w:rsidRDefault="00D551B4" w:rsidP="00C84476">
          <w:r w:rsidRPr="00C84476">
            <w:rPr>
              <w:noProof/>
              <w:sz w:val="28"/>
              <w:szCs w:val="28"/>
              <w:lang w:eastAsia="en-US"/>
            </w:rPr>
            <mc:AlternateContent>
              <mc:Choice Requires="wps">
                <w:drawing>
                  <wp:anchor distT="45720" distB="45720" distL="114300" distR="114300" simplePos="0" relativeHeight="251662336" behindDoc="0" locked="0" layoutInCell="1" allowOverlap="1" wp14:anchorId="22D1F321" wp14:editId="6B690989">
                    <wp:simplePos x="0" y="0"/>
                    <wp:positionH relativeFrom="column">
                      <wp:posOffset>-1905</wp:posOffset>
                    </wp:positionH>
                    <wp:positionV relativeFrom="paragraph">
                      <wp:posOffset>307975</wp:posOffset>
                    </wp:positionV>
                    <wp:extent cx="5806440" cy="595630"/>
                    <wp:effectExtent l="0" t="0" r="381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6440" cy="595630"/>
                            </a:xfrm>
                            <a:prstGeom prst="rect">
                              <a:avLst/>
                            </a:prstGeom>
                            <a:solidFill>
                              <a:srgbClr val="FFFFFF"/>
                            </a:solidFill>
                            <a:ln w="9525">
                              <a:noFill/>
                              <a:miter lim="800000"/>
                              <a:headEnd/>
                              <a:tailEnd/>
                            </a:ln>
                          </wps:spPr>
                          <wps:txbx>
                            <w:txbxContent>
                              <w:p w14:paraId="1676FE0D" w14:textId="77777777" w:rsidR="00C84476" w:rsidRDefault="000C05BE" w:rsidP="000B11E8">
                                <w:pPr>
                                  <w:jc w:val="center"/>
                                </w:pPr>
                                <w:r w:rsidRPr="00B65948">
                                  <w:rPr>
                                    <w:noProof/>
                                    <w:sz w:val="30"/>
                                    <w:szCs w:val="22"/>
                                    <w:lang w:eastAsia="en-US"/>
                                  </w:rPr>
                                  <w:drawing>
                                    <wp:inline distT="0" distB="0" distL="0" distR="0" wp14:anchorId="1A04EAF7" wp14:editId="49B6B5D6">
                                      <wp:extent cx="1584539" cy="279400"/>
                                      <wp:effectExtent l="0" t="0" r="0" b="635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2353" cy="284304"/>
                                              </a:xfrm>
                                              <a:prstGeom prst="rect">
                                                <a:avLst/>
                                              </a:prstGeom>
                                              <a:noFill/>
                                              <a:ln>
                                                <a:noFill/>
                                              </a:ln>
                                              <a:extLst/>
                                            </pic:spPr>
                                          </pic:pic>
                                        </a:graphicData>
                                      </a:graphic>
                                    </wp:inline>
                                  </w:drawing>
                                </w:r>
                                <w:r w:rsidRPr="00B65948">
                                  <w:rPr>
                                    <w:noProof/>
                                    <w:sz w:val="30"/>
                                    <w:szCs w:val="22"/>
                                    <w:lang w:eastAsia="en-US"/>
                                  </w:rPr>
                                  <w:drawing>
                                    <wp:inline distT="0" distB="0" distL="0" distR="0" wp14:anchorId="016A9DC0" wp14:editId="72327B68">
                                      <wp:extent cx="1360561" cy="488950"/>
                                      <wp:effectExtent l="0" t="0" r="0" b="635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3947" cy="493761"/>
                                              </a:xfrm>
                                              <a:prstGeom prst="rect">
                                                <a:avLst/>
                                              </a:prstGeom>
                                              <a:noFill/>
                                              <a:ln>
                                                <a:noFill/>
                                              </a:ln>
                                              <a:extLst/>
                                            </pic:spPr>
                                          </pic:pic>
                                        </a:graphicData>
                                      </a:graphic>
                                    </wp:inline>
                                  </w:drawing>
                                </w:r>
                                <w:r>
                                  <w:rPr>
                                    <w:noProof/>
                                    <w:lang w:eastAsia="en-US"/>
                                  </w:rPr>
                                  <w:drawing>
                                    <wp:inline distT="0" distB="0" distL="0" distR="0" wp14:anchorId="15B52884" wp14:editId="61E005FA">
                                      <wp:extent cx="1295400" cy="45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r="9934" b="20000"/>
                                              <a:stretch/>
                                            </pic:blipFill>
                                            <pic:spPr bwMode="auto">
                                              <a:xfrm>
                                                <a:off x="0" y="0"/>
                                                <a:ext cx="1295400" cy="4572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US"/>
                                  </w:rPr>
                                  <w:drawing>
                                    <wp:inline distT="0" distB="0" distL="0" distR="0" wp14:anchorId="6A52203C" wp14:editId="6BAB8485">
                                      <wp:extent cx="1323213" cy="35941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4">
                                                <a:extLst>
                                                  <a:ext uri="{28A0092B-C50C-407E-A947-70E740481C1C}">
                                                    <a14:useLocalDpi xmlns:a14="http://schemas.microsoft.com/office/drawing/2010/main" val="0"/>
                                                  </a:ext>
                                                </a:extLst>
                                              </a:blip>
                                              <a:srcRect t="-35771" b="-64694"/>
                                              <a:stretch/>
                                            </pic:blipFill>
                                            <pic:spPr bwMode="auto">
                                              <a:xfrm>
                                                <a:off x="0" y="0"/>
                                                <a:ext cx="1378692" cy="37447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2D1F321" id="_x0000_t202" coordsize="21600,21600" o:spt="202" path="m0,0l0,21600,21600,21600,21600,0xe">
                    <v:stroke joinstyle="miter"/>
                    <v:path gradientshapeok="t" o:connecttype="rect"/>
                  </v:shapetype>
                  <v:shape id="Text Box 2" o:spid="_x0000_s1026" type="#_x0000_t202" style="position:absolute;margin-left:-.15pt;margin-top:24.25pt;width:457.2pt;height:46.9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" stroked="f">
                    <v:textbox style="mso-fit-shape-to-text:t">
                      <w:txbxContent>
                        <w:p w14:paraId="1676FE0D" w14:textId="77777777" w:rsidR="00C84476" w:rsidRDefault="000C05BE" w:rsidP="000B11E8">
                          <w:pPr>
                            <w:jc w:val="center"/>
                          </w:pPr>
                          <w:r w:rsidRPr="00B65948">
                            <w:rPr>
                              <w:noProof/>
                              <w:sz w:val="30"/>
                              <w:szCs w:val="22"/>
                              <w:lang w:eastAsia="en-US"/>
                            </w:rPr>
                            <w:drawing>
                              <wp:inline distT="0" distB="0" distL="0" distR="0" wp14:anchorId="1A04EAF7" wp14:editId="49B6B5D6">
                                <wp:extent cx="1584539" cy="279400"/>
                                <wp:effectExtent l="0" t="0" r="0" b="635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2353" cy="284304"/>
                                        </a:xfrm>
                                        <a:prstGeom prst="rect">
                                          <a:avLst/>
                                        </a:prstGeom>
                                        <a:noFill/>
                                        <a:ln>
                                          <a:noFill/>
                                        </a:ln>
                                        <a:extLst/>
                                      </pic:spPr>
                                    </pic:pic>
                                  </a:graphicData>
                                </a:graphic>
                              </wp:inline>
                            </w:drawing>
                          </w:r>
                          <w:r w:rsidRPr="00B65948">
                            <w:rPr>
                              <w:noProof/>
                              <w:sz w:val="30"/>
                              <w:szCs w:val="22"/>
                              <w:lang w:eastAsia="en-US"/>
                            </w:rPr>
                            <w:drawing>
                              <wp:inline distT="0" distB="0" distL="0" distR="0" wp14:anchorId="016A9DC0" wp14:editId="72327B68">
                                <wp:extent cx="1360561" cy="488950"/>
                                <wp:effectExtent l="0" t="0" r="0" b="635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3947" cy="493761"/>
                                        </a:xfrm>
                                        <a:prstGeom prst="rect">
                                          <a:avLst/>
                                        </a:prstGeom>
                                        <a:noFill/>
                                        <a:ln>
                                          <a:noFill/>
                                        </a:ln>
                                        <a:extLst/>
                                      </pic:spPr>
                                    </pic:pic>
                                  </a:graphicData>
                                </a:graphic>
                              </wp:inline>
                            </w:drawing>
                          </w:r>
                          <w:r>
                            <w:rPr>
                              <w:noProof/>
                              <w:lang w:eastAsia="en-US"/>
                            </w:rPr>
                            <w:drawing>
                              <wp:inline distT="0" distB="0" distL="0" distR="0" wp14:anchorId="15B52884" wp14:editId="61E005FA">
                                <wp:extent cx="1295400" cy="45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9934" b="20000"/>
                                        <a:stretch/>
                                      </pic:blipFill>
                                      <pic:spPr bwMode="auto">
                                        <a:xfrm>
                                          <a:off x="0" y="0"/>
                                          <a:ext cx="1295400" cy="4572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US"/>
                            </w:rPr>
                            <w:drawing>
                              <wp:inline distT="0" distB="0" distL="0" distR="0" wp14:anchorId="6A52203C" wp14:editId="6BAB8485">
                                <wp:extent cx="1323213" cy="35941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8">
                                          <a:extLst>
                                            <a:ext uri="{28A0092B-C50C-407E-A947-70E740481C1C}">
                                              <a14:useLocalDpi xmlns:a14="http://schemas.microsoft.com/office/drawing/2010/main" val="0"/>
                                            </a:ext>
                                          </a:extLst>
                                        </a:blip>
                                        <a:srcRect t="-35771" b="-64694"/>
                                        <a:stretch/>
                                      </pic:blipFill>
                                      <pic:spPr bwMode="auto">
                                        <a:xfrm>
                                          <a:off x="0" y="0"/>
                                          <a:ext cx="1378692" cy="37447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3B5620">
            <w:rPr>
              <w:sz w:val="30"/>
              <w:szCs w:val="22"/>
            </w:rPr>
            <w:t xml:space="preserve">      </w:t>
          </w:r>
          <w:r w:rsidR="003B5620">
            <w:rPr>
              <w:lang w:eastAsia="en-US"/>
            </w:rPr>
            <w:t xml:space="preserve">    </w:t>
          </w:r>
          <w:r w:rsidR="00C84476">
            <w:rPr>
              <w:lang w:eastAsia="en-US"/>
            </w:rPr>
            <w:t xml:space="preserve"> </w:t>
          </w:r>
          <w:r w:rsidR="003B5620">
            <w:br w:type="page"/>
          </w:r>
        </w:p>
      </w:sdtContent>
    </w:sdt>
    <w:p w14:paraId="7C6F04F8" w14:textId="77777777" w:rsidR="00725531" w:rsidRPr="00582FB1" w:rsidRDefault="00DE61B2" w:rsidP="00316294">
      <w:r>
        <w:lastRenderedPageBreak/>
        <w:t xml:space="preserve"> </w:t>
      </w:r>
    </w:p>
    <w:p w14:paraId="4A1E8E69" w14:textId="77777777" w:rsidR="00376184" w:rsidRPr="000F1189" w:rsidRDefault="00376184" w:rsidP="00931F82">
      <w:pPr>
        <w:pStyle w:val="Heading1"/>
        <w:numPr>
          <w:ilvl w:val="0"/>
          <w:numId w:val="0"/>
        </w:numPr>
        <w:ind w:left="454" w:hanging="454"/>
      </w:pPr>
      <w:r w:rsidRPr="00257744">
        <w:t>Introduction</w:t>
      </w:r>
    </w:p>
    <w:p w14:paraId="114A36C7"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 xml:space="preserve">On-site fossil fuel combustion for thermal energy can account for up to 40% of emissions in some cities; for some cold-climate cities, thermal energy consumption in buildings can be the single largest source of community-wide emissions. Reducing greenhouse gas (GHG) emissions from thermal energy consumption in buildings is critical to achieving the long-term emissions goals of 80% reduction by 2050 held by leading cities across North America. </w:t>
      </w:r>
    </w:p>
    <w:p w14:paraId="67242198"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 xml:space="preserve">The cities of Boulder, Burlington, New York City, and Washington D.C. are in the process of developing long-term initiatives to drive the local scale-up of renewable heating and cooling (RH&amp;C) technologies. </w:t>
      </w:r>
      <w:r>
        <w:rPr>
          <w:rFonts w:asciiTheme="minorHAnsi" w:hAnsiTheme="minorHAnsi" w:cstheme="minorHAnsi"/>
          <w:sz w:val="24"/>
        </w:rPr>
        <w:t>T</w:t>
      </w:r>
      <w:r w:rsidRPr="00316294">
        <w:rPr>
          <w:rFonts w:asciiTheme="minorHAnsi" w:hAnsiTheme="minorHAnsi" w:cstheme="minorHAnsi"/>
          <w:sz w:val="24"/>
        </w:rPr>
        <w:t>hese cities are exploring opportunities for using high-efficiency electric heat pump technologies—namely air source heat pumps (ASHP) and heat pump water heaters (HPWH)—in combination with increasing deployment of renewably-generated electricity to “decarbonize” their building sectors.</w:t>
      </w:r>
    </w:p>
    <w:p w14:paraId="7029B1FC"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In order to establish policy strategies and develop internal roadmaps for action, these four cities conducted analyses of their local markets to better understand the state of their building stock and identify high-potential sites for near-term heat pump deployment. These parcel-by-parcel analyses focused on the nearly 1 million 1-4 family residential buildings across these cities, which (except for New York City) account for the majority of residential building emissions in these cities. Additionally, these buildings are likely to offer the highest potential for near-term deployment and be most responsive to city-led efforts to increase awareness and market deployment.</w:t>
      </w:r>
    </w:p>
    <w:p w14:paraId="0A9E14B9"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With technical support from DNV-GL</w:t>
      </w:r>
      <w:r>
        <w:rPr>
          <w:rFonts w:asciiTheme="minorHAnsi" w:hAnsiTheme="minorHAnsi" w:cstheme="minorHAnsi"/>
          <w:sz w:val="24"/>
        </w:rPr>
        <w:t>,</w:t>
      </w:r>
      <w:r w:rsidRPr="00316294">
        <w:rPr>
          <w:rFonts w:asciiTheme="minorHAnsi" w:hAnsiTheme="minorHAnsi" w:cstheme="minorHAnsi"/>
          <w:sz w:val="24"/>
        </w:rPr>
        <w:t xml:space="preserve"> Meister Consultants Group, </w:t>
      </w:r>
      <w:r>
        <w:rPr>
          <w:rFonts w:asciiTheme="minorHAnsi" w:hAnsiTheme="minorHAnsi" w:cstheme="minorHAnsi"/>
          <w:sz w:val="24"/>
        </w:rPr>
        <w:t xml:space="preserve">and Radiant Labs, </w:t>
      </w:r>
      <w:r w:rsidRPr="00316294">
        <w:rPr>
          <w:rFonts w:asciiTheme="minorHAnsi" w:hAnsiTheme="minorHAnsi" w:cstheme="minorHAnsi"/>
          <w:sz w:val="24"/>
        </w:rPr>
        <w:t>the four cities collected and analyzed publicly-available data sources, including tax assessor, Census, and building, mechanical, HVAC, electrical, and other permit databases, as well as other data sets that could provide relevant information regarding resident demographics or clean energy deployment. Through these data analyses, the cities aimed to determine which 1-4 family buildings would have the highest potential for near-term adoption of ASHPs and HPWHs based on physical/building, economic, and demographic characteristics. Based on the results of these analyses, the four cities developed internal roadmaps for driving near-term action.</w:t>
      </w:r>
      <w:r w:rsidRPr="00316294">
        <w:rPr>
          <w:rStyle w:val="FootnoteReference"/>
          <w:rFonts w:asciiTheme="minorHAnsi" w:hAnsiTheme="minorHAnsi" w:cstheme="minorHAnsi"/>
          <w:sz w:val="24"/>
        </w:rPr>
        <w:footnoteReference w:id="1"/>
      </w:r>
    </w:p>
    <w:p w14:paraId="6D8DC091"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This guide provides options and actionable steps for other cities interested in completing similar analyses to guide the development of approaches to transitioning away from fossil fuel-based heating. In particular, this guide discusses key steps and best practices to:</w:t>
      </w:r>
    </w:p>
    <w:p w14:paraId="72215FD4" w14:textId="77777777" w:rsidR="006A2805" w:rsidRPr="00316294" w:rsidRDefault="006A2805" w:rsidP="006A2805">
      <w:pPr>
        <w:pStyle w:val="BodyText"/>
        <w:numPr>
          <w:ilvl w:val="0"/>
          <w:numId w:val="24"/>
        </w:numPr>
        <w:rPr>
          <w:rFonts w:asciiTheme="minorHAnsi" w:hAnsiTheme="minorHAnsi" w:cstheme="minorHAnsi"/>
          <w:sz w:val="24"/>
        </w:rPr>
      </w:pPr>
      <w:r w:rsidRPr="00316294">
        <w:rPr>
          <w:rFonts w:asciiTheme="minorHAnsi" w:hAnsiTheme="minorHAnsi" w:cstheme="minorHAnsi"/>
          <w:sz w:val="24"/>
        </w:rPr>
        <w:t>Establish goals and parameters for a thermal decarbonization initiative within the local context</w:t>
      </w:r>
    </w:p>
    <w:p w14:paraId="05662A40" w14:textId="77777777" w:rsidR="006A2805" w:rsidRPr="00316294" w:rsidRDefault="006A2805" w:rsidP="006A2805">
      <w:pPr>
        <w:pStyle w:val="BodyText"/>
        <w:numPr>
          <w:ilvl w:val="0"/>
          <w:numId w:val="24"/>
        </w:numPr>
        <w:rPr>
          <w:rFonts w:asciiTheme="minorHAnsi" w:hAnsiTheme="minorHAnsi" w:cstheme="minorHAnsi"/>
          <w:sz w:val="24"/>
        </w:rPr>
      </w:pPr>
      <w:r w:rsidRPr="00316294">
        <w:rPr>
          <w:rFonts w:asciiTheme="minorHAnsi" w:hAnsiTheme="minorHAnsi" w:cstheme="minorHAnsi"/>
          <w:sz w:val="24"/>
        </w:rPr>
        <w:t>Identify and collect data from publicly-available data sources</w:t>
      </w:r>
    </w:p>
    <w:p w14:paraId="3B6F91D2" w14:textId="77777777" w:rsidR="006A2805" w:rsidRPr="00316294" w:rsidRDefault="006A2805" w:rsidP="006A2805">
      <w:pPr>
        <w:pStyle w:val="BodyText"/>
        <w:numPr>
          <w:ilvl w:val="0"/>
          <w:numId w:val="24"/>
        </w:numPr>
        <w:rPr>
          <w:rFonts w:asciiTheme="minorHAnsi" w:hAnsiTheme="minorHAnsi" w:cstheme="minorHAnsi"/>
          <w:sz w:val="24"/>
        </w:rPr>
      </w:pPr>
      <w:r w:rsidRPr="00316294">
        <w:rPr>
          <w:rFonts w:asciiTheme="minorHAnsi" w:hAnsiTheme="minorHAnsi" w:cstheme="minorHAnsi"/>
          <w:sz w:val="24"/>
        </w:rPr>
        <w:t>Conduct a market analysis of the local building stock</w:t>
      </w:r>
    </w:p>
    <w:p w14:paraId="423A0473" w14:textId="77777777" w:rsidR="006A2805" w:rsidRPr="00316294" w:rsidRDefault="006A2805" w:rsidP="006A2805">
      <w:pPr>
        <w:pStyle w:val="BodyText"/>
        <w:numPr>
          <w:ilvl w:val="0"/>
          <w:numId w:val="24"/>
        </w:numPr>
        <w:rPr>
          <w:rFonts w:asciiTheme="minorHAnsi" w:hAnsiTheme="minorHAnsi" w:cstheme="minorHAnsi"/>
          <w:sz w:val="24"/>
        </w:rPr>
      </w:pPr>
      <w:r w:rsidRPr="00316294">
        <w:rPr>
          <w:rFonts w:asciiTheme="minorHAnsi" w:hAnsiTheme="minorHAnsi" w:cstheme="minorHAnsi"/>
          <w:sz w:val="24"/>
        </w:rPr>
        <w:t>Leverage market analysis to engage key stakeholders and develop policies and programs for scaling the local RH&amp;C market</w:t>
      </w:r>
    </w:p>
    <w:p w14:paraId="46C97D7A" w14:textId="77777777" w:rsidR="006A280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lastRenderedPageBreak/>
        <w:t>Each city will have different goals and interests with respect to thermal decarbonization; varying levels of data availability across the building stock; and differing local energy policy and program contexts. As such, this guide focuses on high-level best practices that could be replicated in other cities, providing examples of the actions taken by the four cities over the course of the project.</w:t>
      </w:r>
    </w:p>
    <w:p w14:paraId="3ADF9906" w14:textId="77777777" w:rsidR="007F7A85" w:rsidRPr="00316294" w:rsidRDefault="006A2805" w:rsidP="006A2805">
      <w:pPr>
        <w:pStyle w:val="BodyText"/>
        <w:rPr>
          <w:rFonts w:asciiTheme="minorHAnsi" w:hAnsiTheme="minorHAnsi" w:cstheme="minorHAnsi"/>
          <w:sz w:val="24"/>
        </w:rPr>
      </w:pPr>
      <w:r w:rsidRPr="00316294">
        <w:rPr>
          <w:rFonts w:asciiTheme="minorHAnsi" w:hAnsiTheme="minorHAnsi" w:cstheme="minorHAnsi"/>
          <w:sz w:val="24"/>
        </w:rPr>
        <w:t>This work was funded by generous grants from the Summit Foundation and Urban Sustainability Director’s Network.</w:t>
      </w:r>
      <w:r>
        <w:rPr>
          <w:rFonts w:asciiTheme="minorHAnsi" w:hAnsiTheme="minorHAnsi" w:cstheme="minorHAnsi"/>
          <w:sz w:val="24"/>
        </w:rPr>
        <w:t xml:space="preserve">  As part of the learning network developed through this project, there is a series of modules that were developed that explain </w:t>
      </w:r>
      <w:r w:rsidR="007F7A85">
        <w:rPr>
          <w:rFonts w:asciiTheme="minorHAnsi" w:hAnsiTheme="minorHAnsi" w:cstheme="minorHAnsi"/>
          <w:sz w:val="24"/>
        </w:rPr>
        <w:t xml:space="preserve">more in detail </w:t>
      </w:r>
      <w:r>
        <w:rPr>
          <w:rFonts w:asciiTheme="minorHAnsi" w:hAnsiTheme="minorHAnsi" w:cstheme="minorHAnsi"/>
          <w:sz w:val="24"/>
        </w:rPr>
        <w:t xml:space="preserve">how to </w:t>
      </w:r>
      <w:r w:rsidR="007F7A85">
        <w:rPr>
          <w:rFonts w:asciiTheme="minorHAnsi" w:hAnsiTheme="minorHAnsi" w:cstheme="minorHAnsi"/>
          <w:sz w:val="24"/>
        </w:rPr>
        <w:t>develop an</w:t>
      </w:r>
      <w:r w:rsidR="00720624">
        <w:rPr>
          <w:rFonts w:asciiTheme="minorHAnsi" w:hAnsiTheme="minorHAnsi" w:cstheme="minorHAnsi"/>
          <w:sz w:val="24"/>
        </w:rPr>
        <w:t xml:space="preserve"> air source heat pump market, providing many case studies and examples. The modules and all project deliverables can be found here: </w:t>
      </w:r>
      <w:r w:rsidR="00720624">
        <w:rPr>
          <w:rFonts w:asciiTheme="majorHAnsi" w:hAnsiTheme="majorHAnsi"/>
          <w:b/>
          <w:sz w:val="20"/>
          <w:szCs w:val="20"/>
        </w:rPr>
        <w:t xml:space="preserve"> </w:t>
      </w:r>
      <w:hyperlink r:id="rId19" w:history="1">
        <w:r w:rsidR="00720624">
          <w:rPr>
            <w:rStyle w:val="Hyperlink"/>
            <w:rFonts w:asciiTheme="majorHAnsi" w:hAnsiTheme="majorHAnsi"/>
            <w:b/>
            <w:sz w:val="20"/>
            <w:szCs w:val="20"/>
          </w:rPr>
          <w:t>Dropbox Link</w:t>
        </w:r>
      </w:hyperlink>
      <w:r w:rsidR="00720624">
        <w:t xml:space="preserve">. </w:t>
      </w:r>
    </w:p>
    <w:p w14:paraId="2EFE3DA4" w14:textId="77777777" w:rsidR="00A34550" w:rsidRPr="00582FB1" w:rsidRDefault="00A34550" w:rsidP="0001596E">
      <w:pPr>
        <w:pStyle w:val="BodyText"/>
      </w:pPr>
    </w:p>
    <w:p w14:paraId="6A8F9AD6" w14:textId="77777777" w:rsidR="00F43C6A" w:rsidRPr="008D728F" w:rsidRDefault="00931F82" w:rsidP="000B11E8">
      <w:pPr>
        <w:pStyle w:val="Heading1"/>
      </w:pPr>
      <w:r w:rsidRPr="008D728F">
        <w:t>Establish goals and parameters for a thermal decarbonization initiative within the local context</w:t>
      </w:r>
    </w:p>
    <w:p w14:paraId="2233F0EA" w14:textId="77777777" w:rsidR="00660CD6" w:rsidRPr="00316294" w:rsidRDefault="00660CD6" w:rsidP="002D331A">
      <w:pPr>
        <w:pStyle w:val="BodyText"/>
        <w:rPr>
          <w:rFonts w:asciiTheme="minorHAnsi" w:hAnsiTheme="minorHAnsi" w:cstheme="minorHAnsi"/>
          <w:sz w:val="24"/>
          <w:szCs w:val="24"/>
        </w:rPr>
      </w:pPr>
      <w:bookmarkStart w:id="1" w:name="_Hlk501647129"/>
      <w:r w:rsidRPr="00316294">
        <w:rPr>
          <w:rFonts w:asciiTheme="minorHAnsi" w:hAnsiTheme="minorHAnsi" w:cstheme="minorHAnsi"/>
          <w:sz w:val="24"/>
          <w:szCs w:val="24"/>
        </w:rPr>
        <w:t xml:space="preserve">Cities across North America have established ambitious targets for reducing greenhouse gas emissions, though only a portion of these cities have determined clear roadmaps </w:t>
      </w:r>
      <w:r w:rsidR="002F7581">
        <w:rPr>
          <w:rFonts w:asciiTheme="minorHAnsi" w:hAnsiTheme="minorHAnsi" w:cstheme="minorHAnsi"/>
          <w:sz w:val="24"/>
          <w:szCs w:val="24"/>
        </w:rPr>
        <w:t xml:space="preserve">towards decarbonizing thermal energy in buildings. </w:t>
      </w:r>
      <w:r w:rsidRPr="00316294">
        <w:rPr>
          <w:rFonts w:asciiTheme="minorHAnsi" w:hAnsiTheme="minorHAnsi" w:cstheme="minorHAnsi"/>
          <w:sz w:val="24"/>
          <w:szCs w:val="24"/>
        </w:rPr>
        <w:t>As a first step towards completing a data-driven market analysis</w:t>
      </w:r>
      <w:r w:rsidR="002F7581">
        <w:rPr>
          <w:rFonts w:asciiTheme="minorHAnsi" w:hAnsiTheme="minorHAnsi" w:cstheme="minorHAnsi"/>
          <w:sz w:val="24"/>
          <w:szCs w:val="24"/>
        </w:rPr>
        <w:t>, it is important to clearly contextualize a thermal decarbonization initiative within the local context</w:t>
      </w:r>
      <w:r w:rsidRPr="00316294">
        <w:rPr>
          <w:rFonts w:asciiTheme="minorHAnsi" w:hAnsiTheme="minorHAnsi" w:cstheme="minorHAnsi"/>
          <w:sz w:val="24"/>
          <w:szCs w:val="24"/>
        </w:rPr>
        <w:t xml:space="preserve">. </w:t>
      </w:r>
    </w:p>
    <w:p w14:paraId="3DAE0D6F" w14:textId="77777777" w:rsidR="00660CD6" w:rsidRPr="00316294" w:rsidRDefault="00660CD6" w:rsidP="002D331A">
      <w:pPr>
        <w:pStyle w:val="BodyText"/>
        <w:rPr>
          <w:rFonts w:asciiTheme="minorHAnsi" w:hAnsiTheme="minorHAnsi" w:cstheme="minorHAnsi"/>
          <w:sz w:val="24"/>
          <w:szCs w:val="24"/>
        </w:rPr>
      </w:pPr>
      <w:r w:rsidRPr="00316294">
        <w:rPr>
          <w:rFonts w:asciiTheme="minorHAnsi" w:hAnsiTheme="minorHAnsi" w:cstheme="minorHAnsi"/>
          <w:sz w:val="24"/>
          <w:szCs w:val="24"/>
        </w:rPr>
        <w:t>In particular, consider some of the following</w:t>
      </w:r>
      <w:r w:rsidR="00913DA1" w:rsidRPr="00316294">
        <w:rPr>
          <w:rFonts w:asciiTheme="minorHAnsi" w:hAnsiTheme="minorHAnsi" w:cstheme="minorHAnsi"/>
          <w:sz w:val="24"/>
          <w:szCs w:val="24"/>
        </w:rPr>
        <w:t xml:space="preserve"> key questions discussed below in planning an approach to thermal decarbonization:</w:t>
      </w:r>
    </w:p>
    <w:p w14:paraId="59463FA7" w14:textId="77777777" w:rsidR="00660CD6" w:rsidRPr="00316294" w:rsidRDefault="00660CD6" w:rsidP="00316294">
      <w:pPr>
        <w:pStyle w:val="BodyText"/>
        <w:numPr>
          <w:ilvl w:val="0"/>
          <w:numId w:val="32"/>
        </w:numPr>
        <w:rPr>
          <w:rFonts w:asciiTheme="minorHAnsi" w:hAnsiTheme="minorHAnsi" w:cstheme="minorHAnsi"/>
          <w:sz w:val="24"/>
          <w:szCs w:val="24"/>
        </w:rPr>
      </w:pPr>
      <w:r w:rsidRPr="00316294">
        <w:rPr>
          <w:rFonts w:asciiTheme="minorHAnsi" w:hAnsiTheme="minorHAnsi" w:cstheme="minorHAnsi"/>
          <w:sz w:val="24"/>
          <w:szCs w:val="24"/>
        </w:rPr>
        <w:t xml:space="preserve">To what extent </w:t>
      </w:r>
      <w:r w:rsidR="008D728F">
        <w:rPr>
          <w:rFonts w:asciiTheme="minorHAnsi" w:hAnsiTheme="minorHAnsi" w:cstheme="minorHAnsi"/>
          <w:sz w:val="24"/>
          <w:szCs w:val="24"/>
        </w:rPr>
        <w:t>d</w:t>
      </w:r>
      <w:r w:rsidRPr="00316294">
        <w:rPr>
          <w:rFonts w:asciiTheme="minorHAnsi" w:hAnsiTheme="minorHAnsi" w:cstheme="minorHAnsi"/>
          <w:sz w:val="24"/>
          <w:szCs w:val="24"/>
        </w:rPr>
        <w:t>o buildings need to transition away from fossil fuel-based heating in order to meet your city’s long-term and interim climate goals?</w:t>
      </w:r>
    </w:p>
    <w:p w14:paraId="7704CBD2" w14:textId="77777777" w:rsidR="00391DA6" w:rsidRPr="00316294" w:rsidRDefault="00391DA6" w:rsidP="00316294">
      <w:pPr>
        <w:pStyle w:val="BodyText"/>
        <w:numPr>
          <w:ilvl w:val="0"/>
          <w:numId w:val="32"/>
        </w:numPr>
        <w:rPr>
          <w:rFonts w:asciiTheme="minorHAnsi" w:hAnsiTheme="minorHAnsi" w:cstheme="minorHAnsi"/>
          <w:sz w:val="24"/>
          <w:szCs w:val="24"/>
        </w:rPr>
      </w:pPr>
      <w:r w:rsidRPr="00316294">
        <w:rPr>
          <w:rFonts w:asciiTheme="minorHAnsi" w:hAnsiTheme="minorHAnsi" w:cstheme="minorHAnsi"/>
          <w:sz w:val="24"/>
          <w:szCs w:val="24"/>
        </w:rPr>
        <w:t>What is the current stat</w:t>
      </w:r>
      <w:r w:rsidR="00E06E5F">
        <w:rPr>
          <w:rFonts w:asciiTheme="minorHAnsi" w:hAnsiTheme="minorHAnsi" w:cstheme="minorHAnsi"/>
          <w:sz w:val="24"/>
          <w:szCs w:val="24"/>
        </w:rPr>
        <w:t>e</w:t>
      </w:r>
      <w:r w:rsidRPr="00316294">
        <w:rPr>
          <w:rFonts w:asciiTheme="minorHAnsi" w:hAnsiTheme="minorHAnsi" w:cstheme="minorHAnsi"/>
          <w:sz w:val="24"/>
          <w:szCs w:val="24"/>
        </w:rPr>
        <w:t xml:space="preserve"> of heating and cooling in your city?</w:t>
      </w:r>
      <w:r w:rsidR="00BA0FD2" w:rsidRPr="00316294">
        <w:rPr>
          <w:rFonts w:asciiTheme="minorHAnsi" w:hAnsiTheme="minorHAnsi" w:cstheme="minorHAnsi"/>
          <w:sz w:val="24"/>
          <w:szCs w:val="24"/>
        </w:rPr>
        <w:t xml:space="preserve"> What are the primary heating fuels being used in your city?</w:t>
      </w:r>
      <w:r w:rsidR="00256E0E" w:rsidRPr="00316294">
        <w:rPr>
          <w:rStyle w:val="FootnoteReference"/>
          <w:rFonts w:asciiTheme="minorHAnsi" w:hAnsiTheme="minorHAnsi" w:cstheme="minorHAnsi"/>
          <w:sz w:val="24"/>
          <w:szCs w:val="24"/>
        </w:rPr>
        <w:footnoteReference w:id="2"/>
      </w:r>
      <w:r w:rsidR="00BA0FD2" w:rsidRPr="00316294">
        <w:rPr>
          <w:rFonts w:asciiTheme="minorHAnsi" w:hAnsiTheme="minorHAnsi" w:cstheme="minorHAnsi"/>
          <w:sz w:val="24"/>
          <w:szCs w:val="24"/>
        </w:rPr>
        <w:t xml:space="preserve"> </w:t>
      </w:r>
    </w:p>
    <w:p w14:paraId="0E0C358C" w14:textId="77777777" w:rsidR="00660CD6" w:rsidRPr="00316294" w:rsidRDefault="00660CD6" w:rsidP="00316294">
      <w:pPr>
        <w:pStyle w:val="BodyText"/>
        <w:numPr>
          <w:ilvl w:val="0"/>
          <w:numId w:val="32"/>
        </w:numPr>
        <w:rPr>
          <w:rFonts w:asciiTheme="minorHAnsi" w:hAnsiTheme="minorHAnsi" w:cstheme="minorHAnsi"/>
          <w:sz w:val="24"/>
          <w:szCs w:val="24"/>
        </w:rPr>
      </w:pPr>
      <w:r w:rsidRPr="00316294">
        <w:rPr>
          <w:rFonts w:asciiTheme="minorHAnsi" w:hAnsiTheme="minorHAnsi" w:cstheme="minorHAnsi"/>
          <w:sz w:val="24"/>
          <w:szCs w:val="24"/>
        </w:rPr>
        <w:t xml:space="preserve">What is the technology and market pathway for achieving this transition? </w:t>
      </w:r>
    </w:p>
    <w:p w14:paraId="056EF1E3" w14:textId="77777777" w:rsidR="00BA0FD2" w:rsidRPr="00316294" w:rsidRDefault="00BA0FD2" w:rsidP="00316294">
      <w:pPr>
        <w:pStyle w:val="BodyText"/>
        <w:numPr>
          <w:ilvl w:val="0"/>
          <w:numId w:val="32"/>
        </w:numPr>
        <w:rPr>
          <w:rFonts w:asciiTheme="minorHAnsi" w:hAnsiTheme="minorHAnsi" w:cstheme="minorHAnsi"/>
          <w:sz w:val="24"/>
          <w:szCs w:val="24"/>
        </w:rPr>
      </w:pPr>
      <w:r w:rsidRPr="00316294">
        <w:rPr>
          <w:rFonts w:asciiTheme="minorHAnsi" w:hAnsiTheme="minorHAnsi" w:cstheme="minorHAnsi"/>
          <w:sz w:val="24"/>
          <w:szCs w:val="24"/>
        </w:rPr>
        <w:t xml:space="preserve">What is the baseline awareness of </w:t>
      </w:r>
      <w:r w:rsidR="00256E0E" w:rsidRPr="00316294">
        <w:rPr>
          <w:rFonts w:asciiTheme="minorHAnsi" w:hAnsiTheme="minorHAnsi" w:cstheme="minorHAnsi"/>
          <w:sz w:val="24"/>
          <w:szCs w:val="24"/>
        </w:rPr>
        <w:t>the relevant renewable heating and cooling technologies in your city?</w:t>
      </w:r>
      <w:r w:rsidR="00256E0E" w:rsidRPr="00316294">
        <w:rPr>
          <w:rFonts w:asciiTheme="minorHAnsi" w:hAnsiTheme="minorHAnsi" w:cstheme="minorHAnsi"/>
          <w:b/>
          <w:sz w:val="24"/>
          <w:szCs w:val="24"/>
        </w:rPr>
        <w:t xml:space="preserve"> </w:t>
      </w:r>
      <w:r w:rsidR="00C64F82" w:rsidRPr="00316294">
        <w:rPr>
          <w:rFonts w:asciiTheme="minorHAnsi" w:hAnsiTheme="minorHAnsi" w:cstheme="minorHAnsi"/>
          <w:sz w:val="24"/>
          <w:szCs w:val="24"/>
        </w:rPr>
        <w:t xml:space="preserve">What programs already exist to encourage deployment of RH&amp;C technologies (e.g. incentive programs, financing options, etc.) and other related </w:t>
      </w:r>
      <w:r w:rsidR="00B83DDC" w:rsidRPr="00316294">
        <w:rPr>
          <w:rFonts w:asciiTheme="minorHAnsi" w:hAnsiTheme="minorHAnsi" w:cstheme="minorHAnsi"/>
          <w:sz w:val="24"/>
          <w:szCs w:val="24"/>
        </w:rPr>
        <w:t>renewable energy and energy efficiency measures?</w:t>
      </w:r>
    </w:p>
    <w:p w14:paraId="0C424385" w14:textId="77777777" w:rsidR="00660CD6" w:rsidRPr="00316294" w:rsidRDefault="00BA0FD2" w:rsidP="00316294">
      <w:pPr>
        <w:pStyle w:val="BodyText"/>
        <w:numPr>
          <w:ilvl w:val="0"/>
          <w:numId w:val="32"/>
        </w:numPr>
        <w:rPr>
          <w:rFonts w:asciiTheme="minorHAnsi" w:hAnsiTheme="minorHAnsi" w:cstheme="minorHAnsi"/>
          <w:sz w:val="24"/>
          <w:szCs w:val="24"/>
        </w:rPr>
      </w:pPr>
      <w:r w:rsidRPr="00316294">
        <w:rPr>
          <w:rFonts w:asciiTheme="minorHAnsi" w:hAnsiTheme="minorHAnsi" w:cstheme="minorHAnsi"/>
          <w:sz w:val="24"/>
          <w:szCs w:val="24"/>
        </w:rPr>
        <w:t>What existing</w:t>
      </w:r>
      <w:r w:rsidR="00256E0E" w:rsidRPr="00316294">
        <w:rPr>
          <w:rFonts w:asciiTheme="minorHAnsi" w:hAnsiTheme="minorHAnsi" w:cstheme="minorHAnsi"/>
          <w:sz w:val="24"/>
          <w:szCs w:val="24"/>
        </w:rPr>
        <w:t xml:space="preserve"> relevant targets and initiatives (e.g. around renewable electricity generation, electrification of transportation, building energy efficiency), as well as local constraints and limitations </w:t>
      </w:r>
      <w:r w:rsidR="00E06E5F">
        <w:rPr>
          <w:rFonts w:asciiTheme="minorHAnsi" w:hAnsiTheme="minorHAnsi" w:cstheme="minorHAnsi"/>
          <w:sz w:val="24"/>
          <w:szCs w:val="24"/>
        </w:rPr>
        <w:t xml:space="preserve">will </w:t>
      </w:r>
      <w:r w:rsidR="00256E0E" w:rsidRPr="00316294">
        <w:rPr>
          <w:rFonts w:asciiTheme="minorHAnsi" w:hAnsiTheme="minorHAnsi" w:cstheme="minorHAnsi"/>
          <w:sz w:val="24"/>
          <w:szCs w:val="24"/>
        </w:rPr>
        <w:t>affect how your city would approach its pathway to achieving thermal decarbonization?</w:t>
      </w:r>
    </w:p>
    <w:p w14:paraId="652505AE" w14:textId="77777777" w:rsidR="00913DA1" w:rsidRPr="00316294" w:rsidRDefault="00913DA1" w:rsidP="002D331A">
      <w:pPr>
        <w:pStyle w:val="BodyText"/>
        <w:rPr>
          <w:rFonts w:asciiTheme="minorHAnsi" w:hAnsiTheme="minorHAnsi" w:cstheme="minorHAnsi"/>
          <w:sz w:val="24"/>
          <w:szCs w:val="24"/>
        </w:rPr>
      </w:pPr>
      <w:r w:rsidRPr="00316294">
        <w:rPr>
          <w:rFonts w:asciiTheme="minorHAnsi" w:hAnsiTheme="minorHAnsi" w:cstheme="minorHAnsi"/>
          <w:sz w:val="24"/>
          <w:szCs w:val="24"/>
        </w:rPr>
        <w:t>While cities do not need to have completed the analyses necessary to answer these questions prior to completing other steps within this guide, having a thorough, holistic understanding of the goals and parameters of a thermal decarbonization initiative</w:t>
      </w:r>
      <w:r w:rsidR="009F606A" w:rsidRPr="00316294">
        <w:rPr>
          <w:rFonts w:asciiTheme="minorHAnsi" w:hAnsiTheme="minorHAnsi" w:cstheme="minorHAnsi"/>
          <w:sz w:val="24"/>
          <w:szCs w:val="24"/>
        </w:rPr>
        <w:t xml:space="preserve"> within the local context</w:t>
      </w:r>
      <w:r w:rsidRPr="00316294">
        <w:rPr>
          <w:rFonts w:asciiTheme="minorHAnsi" w:hAnsiTheme="minorHAnsi" w:cstheme="minorHAnsi"/>
          <w:sz w:val="24"/>
          <w:szCs w:val="24"/>
        </w:rPr>
        <w:t xml:space="preserve"> can help to inform </w:t>
      </w:r>
      <w:r w:rsidR="002F7581">
        <w:rPr>
          <w:rFonts w:asciiTheme="minorHAnsi" w:hAnsiTheme="minorHAnsi" w:cstheme="minorHAnsi"/>
          <w:sz w:val="24"/>
          <w:szCs w:val="24"/>
        </w:rPr>
        <w:t>the analysis.</w:t>
      </w:r>
    </w:p>
    <w:bookmarkEnd w:id="1"/>
    <w:p w14:paraId="5857BF2C" w14:textId="77777777" w:rsidR="00763503" w:rsidRPr="00316294" w:rsidRDefault="00660CD6" w:rsidP="002D331A">
      <w:pPr>
        <w:pStyle w:val="BodyText"/>
        <w:rPr>
          <w:rFonts w:asciiTheme="minorHAnsi" w:hAnsiTheme="minorHAnsi" w:cstheme="minorHAnsi"/>
          <w:sz w:val="24"/>
          <w:szCs w:val="24"/>
        </w:rPr>
      </w:pPr>
      <w:r w:rsidRPr="00316294">
        <w:rPr>
          <w:rFonts w:asciiTheme="minorHAnsi" w:hAnsiTheme="minorHAnsi" w:cstheme="minorHAnsi"/>
          <w:sz w:val="24"/>
          <w:szCs w:val="24"/>
        </w:rPr>
        <w:lastRenderedPageBreak/>
        <w:t xml:space="preserve">The approach pursued by the four cities described below reflects an approach to thermal decarbonization within the broader, emerging framework of </w:t>
      </w:r>
      <w:r w:rsidRPr="00316294">
        <w:rPr>
          <w:rFonts w:asciiTheme="minorHAnsi" w:hAnsiTheme="minorHAnsi" w:cstheme="minorHAnsi"/>
          <w:b/>
          <w:sz w:val="24"/>
          <w:szCs w:val="24"/>
        </w:rPr>
        <w:t xml:space="preserve">strategic (or beneficial) electrification, </w:t>
      </w:r>
      <w:r w:rsidRPr="00316294">
        <w:rPr>
          <w:rFonts w:asciiTheme="minorHAnsi" w:hAnsiTheme="minorHAnsi" w:cstheme="minorHAnsi"/>
          <w:sz w:val="24"/>
          <w:szCs w:val="24"/>
        </w:rPr>
        <w:t>which aims to encourage the electrification of thermal energy (and transportation)</w:t>
      </w:r>
      <w:r w:rsidR="00913DA1" w:rsidRPr="00316294">
        <w:rPr>
          <w:rFonts w:asciiTheme="minorHAnsi" w:hAnsiTheme="minorHAnsi" w:cstheme="minorHAnsi"/>
          <w:sz w:val="24"/>
          <w:szCs w:val="24"/>
        </w:rPr>
        <w:t xml:space="preserve"> sectors with</w:t>
      </w:r>
      <w:r w:rsidRPr="00316294">
        <w:rPr>
          <w:rFonts w:asciiTheme="minorHAnsi" w:hAnsiTheme="minorHAnsi" w:cstheme="minorHAnsi"/>
          <w:sz w:val="24"/>
          <w:szCs w:val="24"/>
        </w:rPr>
        <w:t xml:space="preserve">in the context of </w:t>
      </w:r>
      <w:r w:rsidR="00913DA1" w:rsidRPr="00316294">
        <w:rPr>
          <w:rFonts w:asciiTheme="minorHAnsi" w:hAnsiTheme="minorHAnsi" w:cstheme="minorHAnsi"/>
          <w:sz w:val="24"/>
          <w:szCs w:val="24"/>
        </w:rPr>
        <w:t xml:space="preserve">an increasingly-renewable electricity grid. </w:t>
      </w:r>
    </w:p>
    <w:p w14:paraId="394DE875" w14:textId="77777777" w:rsidR="00763503" w:rsidRPr="00316294" w:rsidRDefault="00913DA1" w:rsidP="002D331A">
      <w:pPr>
        <w:pStyle w:val="BodyText"/>
        <w:rPr>
          <w:rFonts w:asciiTheme="minorHAnsi" w:hAnsiTheme="minorHAnsi" w:cstheme="minorHAnsi"/>
          <w:sz w:val="24"/>
          <w:szCs w:val="24"/>
        </w:rPr>
      </w:pPr>
      <w:r w:rsidRPr="00316294">
        <w:rPr>
          <w:rFonts w:asciiTheme="minorHAnsi" w:hAnsiTheme="minorHAnsi" w:cstheme="minorHAnsi"/>
          <w:sz w:val="24"/>
          <w:szCs w:val="24"/>
        </w:rPr>
        <w:t xml:space="preserve">While </w:t>
      </w:r>
      <w:r w:rsidR="00763503" w:rsidRPr="00316294">
        <w:rPr>
          <w:rFonts w:asciiTheme="minorHAnsi" w:hAnsiTheme="minorHAnsi" w:cstheme="minorHAnsi"/>
          <w:sz w:val="24"/>
          <w:szCs w:val="24"/>
        </w:rPr>
        <w:t xml:space="preserve">strategic electrification </w:t>
      </w:r>
      <w:r w:rsidRPr="00316294">
        <w:rPr>
          <w:rFonts w:asciiTheme="minorHAnsi" w:hAnsiTheme="minorHAnsi" w:cstheme="minorHAnsi"/>
          <w:sz w:val="24"/>
          <w:szCs w:val="24"/>
        </w:rPr>
        <w:t>is</w:t>
      </w:r>
      <w:r w:rsidR="009F606A" w:rsidRPr="00316294">
        <w:rPr>
          <w:rFonts w:asciiTheme="minorHAnsi" w:hAnsiTheme="minorHAnsi" w:cstheme="minorHAnsi"/>
          <w:sz w:val="24"/>
          <w:szCs w:val="24"/>
        </w:rPr>
        <w:t xml:space="preserve"> becoming a popular approach for driving thermal decarbonization,</w:t>
      </w:r>
      <w:r w:rsidR="00763503" w:rsidRPr="00316294">
        <w:rPr>
          <w:rFonts w:asciiTheme="minorHAnsi" w:hAnsiTheme="minorHAnsi" w:cstheme="minorHAnsi"/>
          <w:sz w:val="24"/>
          <w:szCs w:val="24"/>
        </w:rPr>
        <w:t xml:space="preserve"> it is not the only approach available to cities</w:t>
      </w:r>
      <w:r w:rsidR="00E06E5F">
        <w:rPr>
          <w:rFonts w:asciiTheme="minorHAnsi" w:hAnsiTheme="minorHAnsi" w:cstheme="minorHAnsi"/>
          <w:sz w:val="24"/>
          <w:szCs w:val="24"/>
        </w:rPr>
        <w:t>.</w:t>
      </w:r>
      <w:r w:rsidR="009F606A" w:rsidRPr="00316294">
        <w:rPr>
          <w:rFonts w:asciiTheme="minorHAnsi" w:hAnsiTheme="minorHAnsi" w:cstheme="minorHAnsi"/>
          <w:sz w:val="24"/>
          <w:szCs w:val="24"/>
        </w:rPr>
        <w:t xml:space="preserve"> </w:t>
      </w:r>
      <w:r w:rsidR="00E06E5F">
        <w:rPr>
          <w:rFonts w:asciiTheme="minorHAnsi" w:hAnsiTheme="minorHAnsi" w:cstheme="minorHAnsi"/>
          <w:sz w:val="24"/>
          <w:szCs w:val="24"/>
        </w:rPr>
        <w:t>F</w:t>
      </w:r>
      <w:r w:rsidR="009F606A" w:rsidRPr="00316294">
        <w:rPr>
          <w:rFonts w:asciiTheme="minorHAnsi" w:hAnsiTheme="minorHAnsi" w:cstheme="minorHAnsi"/>
          <w:sz w:val="24"/>
          <w:szCs w:val="24"/>
        </w:rPr>
        <w:t>or example, depending on local context, some cities may be interested in leveraging other renewable heating and cooling technologies (e.g. solar thermal, bioenergy).</w:t>
      </w:r>
      <w:r w:rsidR="00763503" w:rsidRPr="00316294">
        <w:rPr>
          <w:rFonts w:asciiTheme="minorHAnsi" w:hAnsiTheme="minorHAnsi" w:cstheme="minorHAnsi"/>
          <w:sz w:val="24"/>
          <w:szCs w:val="24"/>
        </w:rPr>
        <w:t xml:space="preserve"> However, given that the four cities involved in this project were focused on a strategic electrification-based approach to thermal decarbonization, most examples provided in this guide will focus on</w:t>
      </w:r>
      <w:r w:rsidR="009F606A" w:rsidRPr="00316294">
        <w:rPr>
          <w:rFonts w:asciiTheme="minorHAnsi" w:hAnsiTheme="minorHAnsi" w:cstheme="minorHAnsi"/>
          <w:sz w:val="24"/>
          <w:szCs w:val="24"/>
        </w:rPr>
        <w:t xml:space="preserve"> exploring the deployment of the</w:t>
      </w:r>
      <w:r w:rsidR="00763503" w:rsidRPr="00316294">
        <w:rPr>
          <w:rFonts w:asciiTheme="minorHAnsi" w:hAnsiTheme="minorHAnsi" w:cstheme="minorHAnsi"/>
          <w:sz w:val="24"/>
          <w:szCs w:val="24"/>
        </w:rPr>
        <w:t xml:space="preserve"> high-efficiency heat pump technologies at the heart of this approach. </w:t>
      </w:r>
    </w:p>
    <w:p w14:paraId="7CDB9270" w14:textId="77777777" w:rsidR="002B0B80" w:rsidRPr="00316294" w:rsidRDefault="00763503" w:rsidP="002D331A">
      <w:pPr>
        <w:pStyle w:val="BodyText"/>
        <w:rPr>
          <w:rFonts w:asciiTheme="minorHAnsi" w:hAnsiTheme="minorHAnsi" w:cstheme="minorHAnsi"/>
          <w:sz w:val="24"/>
          <w:szCs w:val="24"/>
        </w:rPr>
      </w:pPr>
      <w:r w:rsidRPr="00316294">
        <w:rPr>
          <w:rFonts w:asciiTheme="minorHAnsi" w:hAnsiTheme="minorHAnsi" w:cstheme="minorHAnsi"/>
          <w:sz w:val="24"/>
          <w:szCs w:val="24"/>
        </w:rPr>
        <w:t>T</w:t>
      </w:r>
      <w:r w:rsidR="00913DA1" w:rsidRPr="00316294">
        <w:rPr>
          <w:rFonts w:asciiTheme="minorHAnsi" w:hAnsiTheme="minorHAnsi" w:cstheme="minorHAnsi"/>
          <w:sz w:val="24"/>
          <w:szCs w:val="24"/>
        </w:rPr>
        <w:t xml:space="preserve">he strategic electrification framework, </w:t>
      </w:r>
      <w:r w:rsidR="002A2F0B" w:rsidRPr="00316294">
        <w:rPr>
          <w:rFonts w:asciiTheme="minorHAnsi" w:hAnsiTheme="minorHAnsi" w:cstheme="minorHAnsi"/>
          <w:sz w:val="24"/>
          <w:szCs w:val="24"/>
        </w:rPr>
        <w:t>with examples on some of the</w:t>
      </w:r>
      <w:r w:rsidR="00913DA1" w:rsidRPr="00316294">
        <w:rPr>
          <w:rFonts w:asciiTheme="minorHAnsi" w:hAnsiTheme="minorHAnsi" w:cstheme="minorHAnsi"/>
          <w:sz w:val="24"/>
          <w:szCs w:val="24"/>
        </w:rPr>
        <w:t xml:space="preserve"> approach</w:t>
      </w:r>
      <w:r w:rsidR="002A2F0B" w:rsidRPr="00316294">
        <w:rPr>
          <w:rFonts w:asciiTheme="minorHAnsi" w:hAnsiTheme="minorHAnsi" w:cstheme="minorHAnsi"/>
          <w:sz w:val="24"/>
          <w:szCs w:val="24"/>
        </w:rPr>
        <w:t>es</w:t>
      </w:r>
      <w:r w:rsidR="00913DA1" w:rsidRPr="00316294">
        <w:rPr>
          <w:rFonts w:asciiTheme="minorHAnsi" w:hAnsiTheme="minorHAnsi" w:cstheme="minorHAnsi"/>
          <w:sz w:val="24"/>
          <w:szCs w:val="24"/>
        </w:rPr>
        <w:t xml:space="preserve"> pursued by the four cities</w:t>
      </w:r>
      <w:r w:rsidR="002A2F0B" w:rsidRPr="00316294">
        <w:rPr>
          <w:rFonts w:asciiTheme="minorHAnsi" w:hAnsiTheme="minorHAnsi" w:cstheme="minorHAnsi"/>
          <w:sz w:val="24"/>
          <w:szCs w:val="24"/>
        </w:rPr>
        <w:t xml:space="preserve"> within that framework</w:t>
      </w:r>
      <w:r w:rsidR="00913DA1" w:rsidRPr="00316294">
        <w:rPr>
          <w:rFonts w:asciiTheme="minorHAnsi" w:hAnsiTheme="minorHAnsi" w:cstheme="minorHAnsi"/>
          <w:sz w:val="24"/>
          <w:szCs w:val="24"/>
        </w:rPr>
        <w:t>, is described</w:t>
      </w:r>
      <w:r w:rsidR="00660CD6" w:rsidRPr="00316294">
        <w:rPr>
          <w:rFonts w:asciiTheme="minorHAnsi" w:hAnsiTheme="minorHAnsi" w:cstheme="minorHAnsi"/>
          <w:sz w:val="24"/>
          <w:szCs w:val="24"/>
        </w:rPr>
        <w:t xml:space="preserve"> </w:t>
      </w:r>
      <w:r w:rsidRPr="00316294">
        <w:rPr>
          <w:rFonts w:asciiTheme="minorHAnsi" w:hAnsiTheme="minorHAnsi" w:cstheme="minorHAnsi"/>
          <w:sz w:val="24"/>
          <w:szCs w:val="24"/>
        </w:rPr>
        <w:t xml:space="preserve">further in </w:t>
      </w:r>
      <w:r w:rsidR="00660CD6" w:rsidRPr="00316294">
        <w:rPr>
          <w:rFonts w:asciiTheme="minorHAnsi" w:hAnsiTheme="minorHAnsi" w:cstheme="minorHAnsi"/>
          <w:sz w:val="24"/>
          <w:szCs w:val="24"/>
        </w:rPr>
        <w:t xml:space="preserve">below in Box 1. </w:t>
      </w:r>
    </w:p>
    <w:p w14:paraId="0E8DCCE6" w14:textId="77777777" w:rsidR="002A2F0B" w:rsidRPr="00582FB1" w:rsidRDefault="002A2F0B" w:rsidP="000B11E8">
      <w:pPr>
        <w:pStyle w:val="Caption"/>
        <w:spacing w:after="120"/>
        <w:rPr>
          <w:rFonts w:cs="Times New Roman"/>
          <w:szCs w:val="24"/>
        </w:rPr>
      </w:pPr>
      <w:r w:rsidRPr="00582FB1">
        <w:t xml:space="preserve">Box </w:t>
      </w:r>
      <w:fldSimple w:instr=" SEQ Box \* ARABIC ">
        <w:r w:rsidR="001E7732">
          <w:rPr>
            <w:noProof/>
          </w:rPr>
          <w:t>1</w:t>
        </w:r>
      </w:fldSimple>
      <w:r w:rsidRPr="00582FB1">
        <w:t xml:space="preserve">. Strategic electrification and city pathways </w:t>
      </w:r>
      <w:r w:rsidR="009F606A" w:rsidRPr="00582FB1">
        <w:t>to deep decarbonization</w:t>
      </w:r>
    </w:p>
    <w:tbl>
      <w:tblPr>
        <w:tblStyle w:val="TableGrid"/>
        <w:tblW w:w="0" w:type="auto"/>
        <w:tblLook w:val="04A0" w:firstRow="1" w:lastRow="0" w:firstColumn="1" w:lastColumn="0" w:noHBand="0" w:noVBand="1"/>
      </w:tblPr>
      <w:tblGrid>
        <w:gridCol w:w="9572"/>
      </w:tblGrid>
      <w:tr w:rsidR="002A2F0B" w:rsidRPr="00582FB1" w14:paraId="6B4528CC" w14:textId="77777777" w:rsidTr="00316294">
        <w:tc>
          <w:tcPr>
            <w:tcW w:w="9572" w:type="dxa"/>
            <w:shd w:val="clear" w:color="auto" w:fill="DBE5F1" w:themeFill="accent1" w:themeFillTint="33"/>
          </w:tcPr>
          <w:p w14:paraId="70FA50EB" w14:textId="77777777" w:rsidR="009F606A" w:rsidRPr="005B589F" w:rsidRDefault="009F606A" w:rsidP="002D331A">
            <w:pPr>
              <w:pStyle w:val="BodyText"/>
              <w:rPr>
                <w:rFonts w:cs="Times New Roman"/>
                <w:szCs w:val="24"/>
              </w:rPr>
            </w:pPr>
            <w:r w:rsidRPr="00257744">
              <w:rPr>
                <w:rFonts w:cs="Times New Roman"/>
                <w:b/>
                <w:szCs w:val="24"/>
              </w:rPr>
              <w:t xml:space="preserve">Strategic (or beneficial) electrification </w:t>
            </w:r>
            <w:r w:rsidRPr="00257744">
              <w:rPr>
                <w:rFonts w:cs="Times New Roman"/>
                <w:szCs w:val="24"/>
              </w:rPr>
              <w:t xml:space="preserve">describes an integrated approach to deep decarbonization driven by a conversion from fossil fuel-based end-uses </w:t>
            </w:r>
            <w:r w:rsidRPr="00841DFE">
              <w:rPr>
                <w:rFonts w:cs="Times New Roman"/>
                <w:szCs w:val="24"/>
              </w:rPr>
              <w:t xml:space="preserve">to efficient electric-based technologies in a way that provides broader benefits </w:t>
            </w:r>
            <w:r w:rsidRPr="005B589F">
              <w:rPr>
                <w:rFonts w:cs="Times New Roman"/>
                <w:szCs w:val="24"/>
              </w:rPr>
              <w:t>(e.g. pollution, cost savings) to society beyond emissions reductions</w:t>
            </w:r>
            <w:r w:rsidR="006C4B9C" w:rsidRPr="005B589F">
              <w:rPr>
                <w:rFonts w:cs="Times New Roman"/>
                <w:szCs w:val="24"/>
              </w:rPr>
              <w:t>.</w:t>
            </w:r>
            <w:r w:rsidR="006C4B9C" w:rsidRPr="00582FB1">
              <w:rPr>
                <w:rStyle w:val="FootnoteReference"/>
                <w:rFonts w:cs="Times New Roman"/>
                <w:szCs w:val="24"/>
              </w:rPr>
              <w:footnoteReference w:id="3"/>
            </w:r>
            <w:r w:rsidR="006C4B9C" w:rsidRPr="00582FB1">
              <w:rPr>
                <w:rFonts w:cs="Times New Roman"/>
                <w:szCs w:val="24"/>
              </w:rPr>
              <w:t xml:space="preserve"> </w:t>
            </w:r>
            <w:r w:rsidR="006C4B9C" w:rsidRPr="00257744">
              <w:rPr>
                <w:rFonts w:cs="Times New Roman"/>
                <w:szCs w:val="24"/>
              </w:rPr>
              <w:t xml:space="preserve">In particular, strategic electrification describes the electrification of thermal energy, transportation, and process heating, as well as other steps to improve the energy efficiency of </w:t>
            </w:r>
            <w:r w:rsidR="006C4B9C" w:rsidRPr="00841DFE">
              <w:rPr>
                <w:rFonts w:cs="Times New Roman"/>
                <w:szCs w:val="24"/>
              </w:rPr>
              <w:t>these end uses within the context of an increasingly renewable electrici</w:t>
            </w:r>
            <w:r w:rsidR="006C4B9C" w:rsidRPr="005B589F">
              <w:rPr>
                <w:rFonts w:cs="Times New Roman"/>
                <w:szCs w:val="24"/>
              </w:rPr>
              <w:t>ty grid.</w:t>
            </w:r>
          </w:p>
          <w:p w14:paraId="4DFF3E82" w14:textId="77777777" w:rsidR="009F606A" w:rsidRPr="00582FB1" w:rsidRDefault="006C4B9C" w:rsidP="002D331A">
            <w:pPr>
              <w:pStyle w:val="BodyText"/>
              <w:rPr>
                <w:rFonts w:cs="Times New Roman"/>
                <w:szCs w:val="24"/>
              </w:rPr>
            </w:pPr>
            <w:r w:rsidRPr="005B589F">
              <w:rPr>
                <w:rFonts w:cs="Times New Roman"/>
                <w:szCs w:val="24"/>
              </w:rPr>
              <w:t xml:space="preserve">Strategic electrification is </w:t>
            </w:r>
            <w:r w:rsidR="009F606A" w:rsidRPr="005B589F">
              <w:rPr>
                <w:rFonts w:cs="Times New Roman"/>
                <w:szCs w:val="24"/>
              </w:rPr>
              <w:t>emerging as a leading approach to achieving deep decarbonization among some</w:t>
            </w:r>
            <w:r w:rsidR="009F606A" w:rsidRPr="00DE61B2">
              <w:rPr>
                <w:rFonts w:cs="Times New Roman"/>
                <w:szCs w:val="24"/>
              </w:rPr>
              <w:t xml:space="preserve"> North American cities and states at the forefront of climate leadership</w:t>
            </w:r>
            <w:r w:rsidRPr="00DE61B2">
              <w:rPr>
                <w:rFonts w:cs="Times New Roman"/>
                <w:szCs w:val="24"/>
              </w:rPr>
              <w:t>, particularly given the initial successes and increasingly ambitious t</w:t>
            </w:r>
            <w:r w:rsidRPr="0011467B">
              <w:rPr>
                <w:rFonts w:cs="Times New Roman"/>
                <w:szCs w:val="24"/>
              </w:rPr>
              <w:t>argets related to renewable electricity generation in some leading states.</w:t>
            </w:r>
            <w:r w:rsidRPr="001E7732">
              <w:rPr>
                <w:rFonts w:cs="Times New Roman"/>
                <w:szCs w:val="24"/>
              </w:rPr>
              <w:t xml:space="preserve"> In the context of strategic electrification, thermal decarbonization typically refers to: 1) </w:t>
            </w:r>
            <w:r w:rsidRPr="00582FB1">
              <w:rPr>
                <w:rFonts w:cs="Times New Roman"/>
                <w:szCs w:val="24"/>
              </w:rPr>
              <w:t>increasing deployment of renewable electricity generation; 2) improving the efficiency of buildings (e.g. through deep energy retrofits); 3) electrifying thermal energy consumption with high-</w:t>
            </w:r>
            <w:r w:rsidR="00C51D3D" w:rsidRPr="00582FB1">
              <w:rPr>
                <w:rFonts w:cs="Times New Roman"/>
                <w:szCs w:val="24"/>
              </w:rPr>
              <w:t>efficiency</w:t>
            </w:r>
            <w:r w:rsidRPr="00582FB1">
              <w:rPr>
                <w:rFonts w:cs="Times New Roman"/>
                <w:szCs w:val="24"/>
              </w:rPr>
              <w:t xml:space="preserve"> heating and cooling technologies.</w:t>
            </w:r>
          </w:p>
          <w:p w14:paraId="540DD3DF" w14:textId="77777777" w:rsidR="006C4B9C" w:rsidRDefault="006A2805" w:rsidP="006C4B9C">
            <w:pPr>
              <w:pStyle w:val="Caption"/>
            </w:pPr>
            <w:r>
              <w:t>Thermal Decarbonization Pathway:</w:t>
            </w:r>
          </w:p>
          <w:p w14:paraId="3185F944" w14:textId="77777777" w:rsidR="00C51D3D" w:rsidRPr="00C51D3D" w:rsidRDefault="00C51D3D" w:rsidP="00C51D3D">
            <w:pPr>
              <w:pStyle w:val="BodyText"/>
            </w:pPr>
            <w:r>
              <w:rPr>
                <w:noProof/>
                <w:lang w:eastAsia="en-US"/>
              </w:rPr>
              <w:drawing>
                <wp:inline distT="0" distB="0" distL="0" distR="0" wp14:anchorId="487F0A3E" wp14:editId="4CB8BFEB">
                  <wp:extent cx="5486400" cy="1152525"/>
                  <wp:effectExtent l="50800" t="0" r="2540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7BB864B7" w14:textId="77777777" w:rsidR="002A2F0B" w:rsidRPr="00DE61B2" w:rsidRDefault="00BA0FD2" w:rsidP="002D331A">
            <w:pPr>
              <w:pStyle w:val="BodyText"/>
              <w:rPr>
                <w:rFonts w:cs="Times New Roman"/>
                <w:szCs w:val="24"/>
              </w:rPr>
            </w:pPr>
            <w:r w:rsidRPr="00257744">
              <w:rPr>
                <w:rFonts w:cs="Times New Roman"/>
                <w:szCs w:val="24"/>
              </w:rPr>
              <w:t>T</w:t>
            </w:r>
            <w:r w:rsidR="006C4B9C" w:rsidRPr="00257744">
              <w:rPr>
                <w:rFonts w:cs="Times New Roman"/>
                <w:szCs w:val="24"/>
              </w:rPr>
              <w:t xml:space="preserve">he four cities </w:t>
            </w:r>
            <w:r w:rsidR="00FC1BBB" w:rsidRPr="00257744">
              <w:rPr>
                <w:rFonts w:cs="Times New Roman"/>
                <w:szCs w:val="24"/>
              </w:rPr>
              <w:t xml:space="preserve">had previously completed various energy planning and </w:t>
            </w:r>
            <w:proofErr w:type="spellStart"/>
            <w:r w:rsidR="00FC1BBB" w:rsidRPr="00257744">
              <w:rPr>
                <w:rFonts w:cs="Times New Roman"/>
                <w:szCs w:val="24"/>
              </w:rPr>
              <w:t>roadmapping</w:t>
            </w:r>
            <w:proofErr w:type="spellEnd"/>
            <w:r w:rsidR="00FC1BBB" w:rsidRPr="00257744">
              <w:rPr>
                <w:rFonts w:cs="Times New Roman"/>
                <w:szCs w:val="24"/>
              </w:rPr>
              <w:t xml:space="preserve"> projects that identified </w:t>
            </w:r>
            <w:r w:rsidR="00FC1BBB" w:rsidRPr="00841DFE">
              <w:rPr>
                <w:rFonts w:cs="Times New Roman"/>
                <w:szCs w:val="24"/>
              </w:rPr>
              <w:t xml:space="preserve">high-efficiency </w:t>
            </w:r>
            <w:r w:rsidR="002A2F0B" w:rsidRPr="00841DFE">
              <w:rPr>
                <w:rFonts w:cs="Times New Roman"/>
                <w:szCs w:val="24"/>
              </w:rPr>
              <w:t>heat pump technologies (especially air source heat pum</w:t>
            </w:r>
            <w:r w:rsidR="00FC1BBB" w:rsidRPr="00841DFE">
              <w:rPr>
                <w:rFonts w:cs="Times New Roman"/>
                <w:szCs w:val="24"/>
              </w:rPr>
              <w:t>ps and heat pump water heaters)</w:t>
            </w:r>
            <w:r w:rsidR="00FC1BBB" w:rsidRPr="005B589F">
              <w:rPr>
                <w:rFonts w:cs="Times New Roman"/>
                <w:szCs w:val="24"/>
              </w:rPr>
              <w:t xml:space="preserve"> as the primary technologies of interest due in part to their scalability </w:t>
            </w:r>
            <w:r w:rsidRPr="005B589F">
              <w:rPr>
                <w:rFonts w:cs="Times New Roman"/>
                <w:szCs w:val="24"/>
              </w:rPr>
              <w:t>and relative cost-effectiveness, as well as (for ASHP) their ability to provide additional ancillary benefits such as high-efficiency cooling and improved indoor air quality.</w:t>
            </w:r>
            <w:r w:rsidRPr="00DE61B2">
              <w:rPr>
                <w:rFonts w:cs="Times New Roman"/>
                <w:szCs w:val="24"/>
              </w:rPr>
              <w:t xml:space="preserve"> </w:t>
            </w:r>
          </w:p>
          <w:p w14:paraId="6BFCB777" w14:textId="77777777" w:rsidR="002A2F0B" w:rsidRPr="00582FB1" w:rsidRDefault="002A2F0B" w:rsidP="00316294">
            <w:pPr>
              <w:pStyle w:val="BodyText"/>
              <w:numPr>
                <w:ilvl w:val="0"/>
                <w:numId w:val="33"/>
              </w:numPr>
              <w:rPr>
                <w:rFonts w:cs="Times New Roman"/>
                <w:szCs w:val="24"/>
              </w:rPr>
            </w:pPr>
            <w:r w:rsidRPr="00DE61B2">
              <w:rPr>
                <w:rFonts w:cs="Times New Roman"/>
                <w:szCs w:val="24"/>
              </w:rPr>
              <w:t xml:space="preserve">For example, in its Roadmap to 80x50, New York City estimates that achieving thermal </w:t>
            </w:r>
            <w:r w:rsidR="00FC1BBB" w:rsidRPr="0011467B">
              <w:rPr>
                <w:rFonts w:cs="Times New Roman"/>
                <w:szCs w:val="24"/>
              </w:rPr>
              <w:t>d</w:t>
            </w:r>
            <w:r w:rsidRPr="0011467B">
              <w:rPr>
                <w:rFonts w:cs="Times New Roman"/>
                <w:szCs w:val="24"/>
              </w:rPr>
              <w:t xml:space="preserve">ecarbonization targets for the buildings sector will require that: 1) all buildings undergo a </w:t>
            </w:r>
            <w:r w:rsidRPr="0011467B">
              <w:rPr>
                <w:rFonts w:cs="Times New Roman"/>
                <w:szCs w:val="24"/>
              </w:rPr>
              <w:lastRenderedPageBreak/>
              <w:t xml:space="preserve">deep energy retrofit; 2) at least 50-60% of the city’s built square footage </w:t>
            </w:r>
            <w:r w:rsidR="009F606A" w:rsidRPr="001E7732">
              <w:rPr>
                <w:rFonts w:cs="Times New Roman"/>
                <w:szCs w:val="24"/>
              </w:rPr>
              <w:t xml:space="preserve">convert </w:t>
            </w:r>
            <w:r w:rsidRPr="001E7732">
              <w:rPr>
                <w:rFonts w:cs="Times New Roman"/>
                <w:szCs w:val="24"/>
              </w:rPr>
              <w:t>to heat pumps for space heating; and 3)</w:t>
            </w:r>
            <w:r w:rsidR="009F606A" w:rsidRPr="00582FB1">
              <w:rPr>
                <w:rFonts w:cs="Times New Roman"/>
                <w:szCs w:val="24"/>
              </w:rPr>
              <w:t xml:space="preserve"> at least 90% of the city’s built square footage convert to heat pumps for water heating.</w:t>
            </w:r>
            <w:r w:rsidR="00BA0FD2" w:rsidRPr="00582FB1">
              <w:rPr>
                <w:rStyle w:val="FootnoteReference"/>
                <w:rFonts w:cs="Times New Roman"/>
                <w:szCs w:val="24"/>
              </w:rPr>
              <w:footnoteReference w:id="4"/>
            </w:r>
          </w:p>
          <w:p w14:paraId="59173B27" w14:textId="77777777" w:rsidR="00FC1BBB" w:rsidRPr="00DE61B2" w:rsidRDefault="00FC1BBB" w:rsidP="00FC1BBB">
            <w:pPr>
              <w:pStyle w:val="BodyText"/>
              <w:rPr>
                <w:rFonts w:cs="Times New Roman"/>
                <w:szCs w:val="24"/>
              </w:rPr>
            </w:pPr>
            <w:r w:rsidRPr="00257744">
              <w:rPr>
                <w:rFonts w:cs="Times New Roman"/>
                <w:szCs w:val="24"/>
              </w:rPr>
              <w:t xml:space="preserve">As such, </w:t>
            </w:r>
            <w:r w:rsidR="00BA0FD2" w:rsidRPr="00257744">
              <w:rPr>
                <w:rFonts w:cs="Times New Roman"/>
                <w:szCs w:val="24"/>
              </w:rPr>
              <w:t xml:space="preserve">guidance from these </w:t>
            </w:r>
            <w:r w:rsidRPr="00257744">
              <w:rPr>
                <w:rFonts w:cs="Times New Roman"/>
                <w:szCs w:val="24"/>
              </w:rPr>
              <w:t xml:space="preserve">prior analyses helped </w:t>
            </w:r>
            <w:r w:rsidR="00BA0FD2" w:rsidRPr="00257744">
              <w:rPr>
                <w:rFonts w:cs="Times New Roman"/>
                <w:szCs w:val="24"/>
              </w:rPr>
              <w:t xml:space="preserve">the project team to </w:t>
            </w:r>
            <w:r w:rsidRPr="00257744">
              <w:rPr>
                <w:rFonts w:cs="Times New Roman"/>
                <w:szCs w:val="24"/>
              </w:rPr>
              <w:t xml:space="preserve">focus the market analyses </w:t>
            </w:r>
            <w:r w:rsidR="00BA0FD2" w:rsidRPr="00257744">
              <w:rPr>
                <w:rFonts w:cs="Times New Roman"/>
                <w:szCs w:val="24"/>
              </w:rPr>
              <w:t>(as well as subsequent steps</w:t>
            </w:r>
            <w:r w:rsidR="00BA0FD2" w:rsidRPr="00841DFE">
              <w:rPr>
                <w:rFonts w:cs="Times New Roman"/>
                <w:szCs w:val="24"/>
              </w:rPr>
              <w:t xml:space="preserve">—e.g. to assess barriers and opportunities for heat pump deployment, leverage </w:t>
            </w:r>
            <w:r w:rsidR="00BA0FD2" w:rsidRPr="005B589F">
              <w:rPr>
                <w:rFonts w:cs="Times New Roman"/>
                <w:szCs w:val="24"/>
              </w:rPr>
              <w:t>findings from the market analyses to design policies and programs) around more specific technology applications, including ductless and ducted ASHPs and HPWHs.</w:t>
            </w:r>
          </w:p>
        </w:tc>
      </w:tr>
    </w:tbl>
    <w:p w14:paraId="573B0DF3" w14:textId="77777777" w:rsidR="00B74C19" w:rsidRPr="00DE61B2" w:rsidRDefault="00B74C19" w:rsidP="00085A73">
      <w:pPr>
        <w:pStyle w:val="BodyText"/>
        <w:ind w:left="814"/>
      </w:pPr>
    </w:p>
    <w:p w14:paraId="0F92F63A" w14:textId="77777777" w:rsidR="00F43C6A" w:rsidRPr="00582FB1" w:rsidRDefault="00931F82" w:rsidP="000B11E8">
      <w:pPr>
        <w:pStyle w:val="Heading1"/>
      </w:pPr>
      <w:r w:rsidRPr="00DE61B2">
        <w:t>Identify and collect data from publicly available sources</w:t>
      </w:r>
      <w:r w:rsidRPr="00582FB1">
        <w:t xml:space="preserve"> </w:t>
      </w:r>
    </w:p>
    <w:p w14:paraId="13FCC579" w14:textId="77777777" w:rsidR="00B83DDC" w:rsidRPr="00841DFE" w:rsidRDefault="00B83DDC" w:rsidP="001E3D7D">
      <w:pPr>
        <w:pStyle w:val="Default"/>
        <w:spacing w:before="120"/>
        <w:rPr>
          <w:rFonts w:asciiTheme="minorHAnsi" w:hAnsiTheme="minorHAnsi"/>
        </w:rPr>
      </w:pPr>
      <w:r w:rsidRPr="00257744">
        <w:rPr>
          <w:rFonts w:asciiTheme="minorHAnsi" w:hAnsiTheme="minorHAnsi"/>
        </w:rPr>
        <w:t xml:space="preserve">Prior to conducting </w:t>
      </w:r>
      <w:r w:rsidR="009E1A2E" w:rsidRPr="00257744">
        <w:rPr>
          <w:rFonts w:asciiTheme="minorHAnsi" w:hAnsiTheme="minorHAnsi"/>
        </w:rPr>
        <w:t>a data-driven market analysis</w:t>
      </w:r>
      <w:r w:rsidR="009E1A2E" w:rsidRPr="000F1189">
        <w:rPr>
          <w:rFonts w:asciiTheme="minorHAnsi" w:hAnsiTheme="minorHAnsi"/>
        </w:rPr>
        <w:t xml:space="preserve"> to guide thermal decarbonization efforts, it </w:t>
      </w:r>
      <w:r w:rsidR="008737C2">
        <w:rPr>
          <w:rFonts w:asciiTheme="minorHAnsi" w:hAnsiTheme="minorHAnsi"/>
        </w:rPr>
        <w:t xml:space="preserve">was </w:t>
      </w:r>
      <w:r w:rsidR="009E1A2E" w:rsidRPr="000F1189">
        <w:rPr>
          <w:rFonts w:asciiTheme="minorHAnsi" w:hAnsiTheme="minorHAnsi"/>
        </w:rPr>
        <w:t xml:space="preserve">critical to </w:t>
      </w:r>
      <w:r w:rsidR="009E1A2E" w:rsidRPr="00316294">
        <w:rPr>
          <w:rFonts w:asciiTheme="minorHAnsi" w:hAnsiTheme="minorHAnsi"/>
          <w:b/>
        </w:rPr>
        <w:t>identify</w:t>
      </w:r>
      <w:r w:rsidR="009E1A2E" w:rsidRPr="00582FB1">
        <w:rPr>
          <w:rFonts w:asciiTheme="minorHAnsi" w:hAnsiTheme="minorHAnsi"/>
        </w:rPr>
        <w:t xml:space="preserve"> publicly-available </w:t>
      </w:r>
      <w:r w:rsidR="009E1A2E" w:rsidRPr="00257744">
        <w:rPr>
          <w:rFonts w:asciiTheme="minorHAnsi" w:hAnsiTheme="minorHAnsi"/>
        </w:rPr>
        <w:t xml:space="preserve">data sources that can provide valuable information about local buildings and their </w:t>
      </w:r>
      <w:r w:rsidR="008737C2">
        <w:rPr>
          <w:rFonts w:asciiTheme="minorHAnsi" w:hAnsiTheme="minorHAnsi"/>
        </w:rPr>
        <w:t>owners</w:t>
      </w:r>
      <w:r w:rsidR="009E1A2E" w:rsidRPr="00257744">
        <w:rPr>
          <w:rFonts w:asciiTheme="minorHAnsi" w:hAnsiTheme="minorHAnsi"/>
        </w:rPr>
        <w:t xml:space="preserve">, as well as </w:t>
      </w:r>
      <w:r w:rsidR="009E1A2E" w:rsidRPr="00316294">
        <w:rPr>
          <w:rFonts w:asciiTheme="minorHAnsi" w:hAnsiTheme="minorHAnsi"/>
          <w:b/>
        </w:rPr>
        <w:t>c</w:t>
      </w:r>
      <w:r w:rsidR="009E1A2E" w:rsidRPr="00582FB1">
        <w:rPr>
          <w:rFonts w:asciiTheme="minorHAnsi" w:hAnsiTheme="minorHAnsi"/>
          <w:b/>
        </w:rPr>
        <w:t>ollect and aggregate</w:t>
      </w:r>
      <w:r w:rsidR="009E1A2E" w:rsidRPr="00257744">
        <w:rPr>
          <w:rFonts w:asciiTheme="minorHAnsi" w:hAnsiTheme="minorHAnsi"/>
          <w:b/>
        </w:rPr>
        <w:t xml:space="preserve"> </w:t>
      </w:r>
      <w:r w:rsidR="009E1A2E" w:rsidRPr="00257744">
        <w:rPr>
          <w:rFonts w:asciiTheme="minorHAnsi" w:hAnsiTheme="minorHAnsi"/>
        </w:rPr>
        <w:t xml:space="preserve">these data for </w:t>
      </w:r>
      <w:r w:rsidR="009E1A2E" w:rsidRPr="000F1189">
        <w:rPr>
          <w:rFonts w:asciiTheme="minorHAnsi" w:hAnsiTheme="minorHAnsi"/>
        </w:rPr>
        <w:t xml:space="preserve">an in-depth building </w:t>
      </w:r>
      <w:r w:rsidR="009E1A2E" w:rsidRPr="00841DFE">
        <w:rPr>
          <w:rFonts w:asciiTheme="minorHAnsi" w:hAnsiTheme="minorHAnsi"/>
        </w:rPr>
        <w:t xml:space="preserve">analysis. </w:t>
      </w:r>
    </w:p>
    <w:p w14:paraId="6330617C" w14:textId="77777777" w:rsidR="009E1A2E" w:rsidRPr="00DE61B2" w:rsidRDefault="008737C2" w:rsidP="001E3D7D">
      <w:pPr>
        <w:pStyle w:val="Default"/>
        <w:spacing w:before="120"/>
        <w:rPr>
          <w:rFonts w:asciiTheme="minorHAnsi" w:hAnsiTheme="minorHAnsi"/>
        </w:rPr>
      </w:pPr>
      <w:r>
        <w:rPr>
          <w:rFonts w:asciiTheme="minorHAnsi" w:hAnsiTheme="minorHAnsi"/>
        </w:rPr>
        <w:t>Common</w:t>
      </w:r>
      <w:r w:rsidR="006F57E7" w:rsidRPr="00F959A9">
        <w:rPr>
          <w:rFonts w:asciiTheme="minorHAnsi" w:hAnsiTheme="minorHAnsi"/>
        </w:rPr>
        <w:t xml:space="preserve"> data sets, as well as the relevant </w:t>
      </w:r>
      <w:r w:rsidR="006F57E7" w:rsidRPr="00DE61B2">
        <w:rPr>
          <w:rFonts w:asciiTheme="minorHAnsi" w:hAnsiTheme="minorHAnsi"/>
        </w:rPr>
        <w:t>information that can often be provided, include:</w:t>
      </w:r>
    </w:p>
    <w:p w14:paraId="5218CA88" w14:textId="77777777" w:rsidR="006F57E7" w:rsidRPr="00F959A9" w:rsidRDefault="006F57E7" w:rsidP="00316294">
      <w:pPr>
        <w:pStyle w:val="Default"/>
        <w:numPr>
          <w:ilvl w:val="0"/>
          <w:numId w:val="34"/>
        </w:numPr>
        <w:spacing w:before="120"/>
        <w:rPr>
          <w:rFonts w:asciiTheme="minorHAnsi" w:hAnsiTheme="minorHAnsi"/>
        </w:rPr>
      </w:pPr>
      <w:r w:rsidRPr="00316294">
        <w:rPr>
          <w:rFonts w:asciiTheme="minorHAnsi" w:hAnsiTheme="minorHAnsi"/>
          <w:b/>
        </w:rPr>
        <w:t>Tax assessor’s data</w:t>
      </w:r>
      <w:r w:rsidRPr="00582FB1">
        <w:rPr>
          <w:rFonts w:asciiTheme="minorHAnsi" w:hAnsiTheme="minorHAnsi"/>
        </w:rPr>
        <w:t>, which can yield a range of information abou</w:t>
      </w:r>
      <w:r w:rsidRPr="00257744">
        <w:rPr>
          <w:rFonts w:asciiTheme="minorHAnsi" w:hAnsiTheme="minorHAnsi"/>
        </w:rPr>
        <w:t>t a building including heating fuel type, heating distribution system</w:t>
      </w:r>
      <w:r w:rsidR="008737C2">
        <w:rPr>
          <w:rFonts w:asciiTheme="minorHAnsi" w:hAnsiTheme="minorHAnsi"/>
        </w:rPr>
        <w:t xml:space="preserve"> type</w:t>
      </w:r>
      <w:r w:rsidRPr="00257744">
        <w:rPr>
          <w:rFonts w:asciiTheme="minorHAnsi" w:hAnsiTheme="minorHAnsi"/>
        </w:rPr>
        <w:t>, availability of air c</w:t>
      </w:r>
      <w:r w:rsidRPr="00841DFE">
        <w:rPr>
          <w:rFonts w:asciiTheme="minorHAnsi" w:hAnsiTheme="minorHAnsi"/>
        </w:rPr>
        <w:t xml:space="preserve">onditioning, building size, </w:t>
      </w:r>
      <w:r w:rsidRPr="005B589F">
        <w:rPr>
          <w:rFonts w:asciiTheme="minorHAnsi" w:hAnsiTheme="minorHAnsi"/>
        </w:rPr>
        <w:t xml:space="preserve">and </w:t>
      </w:r>
      <w:r w:rsidRPr="00F959A9">
        <w:rPr>
          <w:rFonts w:asciiTheme="minorHAnsi" w:hAnsiTheme="minorHAnsi"/>
        </w:rPr>
        <w:t>owner occupancy status.</w:t>
      </w:r>
    </w:p>
    <w:p w14:paraId="1C1EA03F" w14:textId="77777777" w:rsidR="006F57E7" w:rsidRPr="0011467B" w:rsidRDefault="006F57E7" w:rsidP="00316294">
      <w:pPr>
        <w:pStyle w:val="Default"/>
        <w:numPr>
          <w:ilvl w:val="0"/>
          <w:numId w:val="34"/>
        </w:numPr>
        <w:spacing w:before="120"/>
        <w:rPr>
          <w:rFonts w:asciiTheme="minorHAnsi" w:hAnsiTheme="minorHAnsi"/>
        </w:rPr>
      </w:pPr>
      <w:r w:rsidRPr="00DE61B2">
        <w:rPr>
          <w:rFonts w:asciiTheme="minorHAnsi" w:hAnsiTheme="minorHAnsi"/>
          <w:b/>
        </w:rPr>
        <w:t>Permitting data</w:t>
      </w:r>
      <w:r w:rsidRPr="00DE61B2">
        <w:rPr>
          <w:rFonts w:asciiTheme="minorHAnsi" w:hAnsiTheme="minorHAnsi"/>
        </w:rPr>
        <w:t xml:space="preserve"> (e.g. building, electrical, sheet metal, HVAC, mechanical, etc.), which can provide information on when a building owner has completed work related to heating/cooling system replacemen</w:t>
      </w:r>
      <w:r w:rsidRPr="0011467B">
        <w:rPr>
          <w:rFonts w:asciiTheme="minorHAnsi" w:hAnsiTheme="minorHAnsi"/>
        </w:rPr>
        <w:t>t, installation of solar PV and other clean energy technologies.</w:t>
      </w:r>
    </w:p>
    <w:p w14:paraId="5DF64662" w14:textId="77777777" w:rsidR="006F57E7" w:rsidRPr="0011467B" w:rsidRDefault="006F57E7" w:rsidP="00316294">
      <w:pPr>
        <w:pStyle w:val="Default"/>
        <w:numPr>
          <w:ilvl w:val="0"/>
          <w:numId w:val="34"/>
        </w:numPr>
        <w:spacing w:before="120"/>
        <w:rPr>
          <w:rFonts w:asciiTheme="minorHAnsi" w:hAnsiTheme="minorHAnsi"/>
        </w:rPr>
      </w:pPr>
      <w:r w:rsidRPr="0011467B">
        <w:rPr>
          <w:rFonts w:asciiTheme="minorHAnsi" w:hAnsiTheme="minorHAnsi"/>
          <w:b/>
        </w:rPr>
        <w:t>Census data</w:t>
      </w:r>
      <w:r w:rsidRPr="0011467B">
        <w:rPr>
          <w:rFonts w:asciiTheme="minorHAnsi" w:hAnsiTheme="minorHAnsi"/>
        </w:rPr>
        <w:t>, which can provide information related to occupant demographics (e.g. income, education level) at the census block level.</w:t>
      </w:r>
    </w:p>
    <w:p w14:paraId="4BF711F7" w14:textId="77777777" w:rsidR="006F57E7" w:rsidRPr="00257744" w:rsidRDefault="006F57E7" w:rsidP="00316294">
      <w:pPr>
        <w:pStyle w:val="Default"/>
        <w:numPr>
          <w:ilvl w:val="0"/>
          <w:numId w:val="34"/>
        </w:numPr>
        <w:spacing w:before="120"/>
        <w:rPr>
          <w:rFonts w:asciiTheme="minorHAnsi" w:hAnsiTheme="minorHAnsi"/>
        </w:rPr>
      </w:pPr>
      <w:r w:rsidRPr="0011467B">
        <w:rPr>
          <w:rFonts w:asciiTheme="minorHAnsi" w:hAnsiTheme="minorHAnsi"/>
          <w:b/>
        </w:rPr>
        <w:t>Other relevant</w:t>
      </w:r>
      <w:r w:rsidRPr="00582FB1">
        <w:rPr>
          <w:rFonts w:asciiTheme="minorHAnsi" w:hAnsiTheme="minorHAnsi"/>
          <w:b/>
        </w:rPr>
        <w:t xml:space="preserve"> data</w:t>
      </w:r>
      <w:r w:rsidR="0001711B" w:rsidRPr="00582FB1">
        <w:rPr>
          <w:rFonts w:asciiTheme="minorHAnsi" w:hAnsiTheme="minorHAnsi"/>
          <w:b/>
        </w:rPr>
        <w:t xml:space="preserve"> </w:t>
      </w:r>
      <w:r w:rsidR="0001711B" w:rsidRPr="00316294">
        <w:rPr>
          <w:rFonts w:asciiTheme="minorHAnsi" w:hAnsiTheme="minorHAnsi"/>
        </w:rPr>
        <w:t xml:space="preserve">(e.g. energy program data, </w:t>
      </w:r>
      <w:r w:rsidR="00C00C0C">
        <w:rPr>
          <w:rFonts w:asciiTheme="minorHAnsi" w:hAnsiTheme="minorHAnsi"/>
        </w:rPr>
        <w:t xml:space="preserve">solar PV installations, </w:t>
      </w:r>
      <w:r w:rsidR="0001711B" w:rsidRPr="00316294">
        <w:rPr>
          <w:rFonts w:asciiTheme="minorHAnsi" w:hAnsiTheme="minorHAnsi"/>
        </w:rPr>
        <w:t>demographics)</w:t>
      </w:r>
      <w:r w:rsidRPr="00582FB1">
        <w:rPr>
          <w:rFonts w:asciiTheme="minorHAnsi" w:hAnsiTheme="minorHAnsi"/>
          <w:b/>
        </w:rPr>
        <w:t xml:space="preserve">, </w:t>
      </w:r>
      <w:r w:rsidRPr="00582FB1">
        <w:rPr>
          <w:rFonts w:asciiTheme="minorHAnsi" w:hAnsiTheme="minorHAnsi"/>
        </w:rPr>
        <w:t>which can provide information</w:t>
      </w:r>
      <w:r w:rsidRPr="00257744">
        <w:rPr>
          <w:rFonts w:asciiTheme="minorHAnsi" w:hAnsiTheme="minorHAnsi"/>
        </w:rPr>
        <w:t xml:space="preserve"> on wh</w:t>
      </w:r>
      <w:r w:rsidR="004F1826">
        <w:rPr>
          <w:rFonts w:asciiTheme="minorHAnsi" w:hAnsiTheme="minorHAnsi"/>
        </w:rPr>
        <w:t>ich</w:t>
      </w:r>
      <w:r w:rsidRPr="00257744">
        <w:rPr>
          <w:rFonts w:asciiTheme="minorHAnsi" w:hAnsiTheme="minorHAnsi"/>
        </w:rPr>
        <w:t xml:space="preserve"> building owners have participated in local or state energy programs</w:t>
      </w:r>
      <w:r w:rsidR="00C00C0C">
        <w:rPr>
          <w:rFonts w:asciiTheme="minorHAnsi" w:hAnsiTheme="minorHAnsi"/>
        </w:rPr>
        <w:t xml:space="preserve"> or have adopted clean energy technologies in the past</w:t>
      </w:r>
      <w:r w:rsidRPr="00257744">
        <w:rPr>
          <w:rFonts w:asciiTheme="minorHAnsi" w:hAnsiTheme="minorHAnsi"/>
        </w:rPr>
        <w:t>.</w:t>
      </w:r>
    </w:p>
    <w:p w14:paraId="60790DF1" w14:textId="77777777" w:rsidR="009E1A2E" w:rsidRPr="00582FB1" w:rsidRDefault="009E1A2E" w:rsidP="001E3D7D">
      <w:pPr>
        <w:pStyle w:val="Default"/>
        <w:spacing w:before="120"/>
        <w:rPr>
          <w:rFonts w:asciiTheme="minorHAnsi" w:hAnsiTheme="minorHAnsi"/>
        </w:rPr>
      </w:pPr>
      <w:r w:rsidRPr="00841DFE">
        <w:rPr>
          <w:rFonts w:asciiTheme="minorHAnsi" w:hAnsiTheme="minorHAnsi"/>
        </w:rPr>
        <w:t>Determining what data are available is important to determining what questions can be addressed by this market analys</w:t>
      </w:r>
      <w:r w:rsidRPr="005B589F">
        <w:rPr>
          <w:rFonts w:asciiTheme="minorHAnsi" w:hAnsiTheme="minorHAnsi"/>
        </w:rPr>
        <w:t>is</w:t>
      </w:r>
      <w:r w:rsidR="006F57E7" w:rsidRPr="00F959A9">
        <w:rPr>
          <w:rFonts w:asciiTheme="minorHAnsi" w:hAnsiTheme="minorHAnsi"/>
        </w:rPr>
        <w:t>, what market analysis methodology can be completed,</w:t>
      </w:r>
      <w:r w:rsidRPr="00F959A9">
        <w:rPr>
          <w:rFonts w:asciiTheme="minorHAnsi" w:hAnsiTheme="minorHAnsi"/>
        </w:rPr>
        <w:t xml:space="preserve"> and what steps can be taken to build on this analysis.</w:t>
      </w:r>
      <w:r w:rsidRPr="00DE61B2">
        <w:rPr>
          <w:rFonts w:asciiTheme="minorHAnsi" w:hAnsiTheme="minorHAnsi"/>
        </w:rPr>
        <w:t xml:space="preserve"> Critically, while publicly-available data sources can provide valuable information for this analysis, the availability and quality of these sources vary from city to city</w:t>
      </w:r>
      <w:r w:rsidRPr="0011467B">
        <w:rPr>
          <w:rFonts w:asciiTheme="minorHAnsi" w:hAnsiTheme="minorHAnsi"/>
        </w:rPr>
        <w:t xml:space="preserve"> and may limit the level of analysis that can be performed. For example, some cities do not collect information (or have limited/unreliable information) related to heating fuels</w:t>
      </w:r>
      <w:r w:rsidRPr="00582FB1">
        <w:rPr>
          <w:rFonts w:asciiTheme="minorHAnsi" w:hAnsiTheme="minorHAnsi"/>
        </w:rPr>
        <w:t xml:space="preserve"> or do not </w:t>
      </w:r>
      <w:r w:rsidR="00C9231B" w:rsidRPr="00582FB1">
        <w:rPr>
          <w:rFonts w:asciiTheme="minorHAnsi" w:hAnsiTheme="minorHAnsi"/>
        </w:rPr>
        <w:t xml:space="preserve">aggregate or digitize </w:t>
      </w:r>
      <w:r w:rsidRPr="00582FB1">
        <w:rPr>
          <w:rFonts w:asciiTheme="minorHAnsi" w:hAnsiTheme="minorHAnsi"/>
        </w:rPr>
        <w:t xml:space="preserve">data </w:t>
      </w:r>
      <w:r w:rsidR="00C00C0C">
        <w:rPr>
          <w:rFonts w:asciiTheme="minorHAnsi" w:hAnsiTheme="minorHAnsi"/>
        </w:rPr>
        <w:t xml:space="preserve">pertaining to a building permit’s intended </w:t>
      </w:r>
      <w:r w:rsidR="00C9231B" w:rsidRPr="00582FB1">
        <w:rPr>
          <w:rFonts w:asciiTheme="minorHAnsi" w:hAnsiTheme="minorHAnsi"/>
        </w:rPr>
        <w:t>scope of work</w:t>
      </w:r>
      <w:r w:rsidR="006F57E7" w:rsidRPr="00582FB1">
        <w:rPr>
          <w:rFonts w:asciiTheme="minorHAnsi" w:hAnsiTheme="minorHAnsi"/>
        </w:rPr>
        <w:t>.</w:t>
      </w:r>
      <w:r w:rsidR="0001711B" w:rsidRPr="00582FB1">
        <w:rPr>
          <w:rFonts w:asciiTheme="minorHAnsi" w:hAnsiTheme="minorHAnsi"/>
        </w:rPr>
        <w:t xml:space="preserve"> In general, higher</w:t>
      </w:r>
      <w:r w:rsidR="00C00C0C">
        <w:rPr>
          <w:rFonts w:asciiTheme="minorHAnsi" w:hAnsiTheme="minorHAnsi"/>
        </w:rPr>
        <w:t xml:space="preserve"> </w:t>
      </w:r>
      <w:r w:rsidR="0001711B" w:rsidRPr="00582FB1">
        <w:rPr>
          <w:rFonts w:asciiTheme="minorHAnsi" w:hAnsiTheme="minorHAnsi"/>
        </w:rPr>
        <w:t>quality and more granular data sources will yield a more robust market analysis.</w:t>
      </w:r>
    </w:p>
    <w:p w14:paraId="1F18AEE5" w14:textId="77777777" w:rsidR="00B83DDC" w:rsidRPr="00582FB1" w:rsidRDefault="006F57E7" w:rsidP="001E3D7D">
      <w:pPr>
        <w:pStyle w:val="Default"/>
        <w:spacing w:before="120"/>
        <w:rPr>
          <w:rFonts w:asciiTheme="minorHAnsi" w:hAnsiTheme="minorHAnsi"/>
        </w:rPr>
      </w:pPr>
      <w:r w:rsidRPr="00582FB1">
        <w:rPr>
          <w:rFonts w:asciiTheme="minorHAnsi" w:hAnsiTheme="minorHAnsi"/>
        </w:rPr>
        <w:t xml:space="preserve">Based on </w:t>
      </w:r>
      <w:r w:rsidR="007B0332" w:rsidRPr="00582FB1">
        <w:rPr>
          <w:rFonts w:asciiTheme="minorHAnsi" w:hAnsiTheme="minorHAnsi"/>
        </w:rPr>
        <w:t xml:space="preserve">building, energy, and occupant </w:t>
      </w:r>
      <w:r w:rsidRPr="00582FB1">
        <w:rPr>
          <w:rFonts w:asciiTheme="minorHAnsi" w:hAnsiTheme="minorHAnsi"/>
        </w:rPr>
        <w:t>data availability, your city may consider the following key questions:</w:t>
      </w:r>
    </w:p>
    <w:p w14:paraId="10FA4097" w14:textId="77777777" w:rsidR="007B0332" w:rsidRPr="00582FB1" w:rsidRDefault="007B0332" w:rsidP="00316294">
      <w:pPr>
        <w:pStyle w:val="Default"/>
        <w:numPr>
          <w:ilvl w:val="0"/>
          <w:numId w:val="35"/>
        </w:numPr>
        <w:spacing w:before="120"/>
        <w:rPr>
          <w:rFonts w:asciiTheme="minorHAnsi" w:hAnsiTheme="minorHAnsi"/>
        </w:rPr>
      </w:pPr>
      <w:r w:rsidRPr="00582FB1">
        <w:rPr>
          <w:rFonts w:asciiTheme="minorHAnsi" w:hAnsiTheme="minorHAnsi"/>
        </w:rPr>
        <w:t>What are your city’s goals for the follow-on market analysis?</w:t>
      </w:r>
      <w:r w:rsidR="003C29F3" w:rsidRPr="00582FB1">
        <w:rPr>
          <w:rFonts w:asciiTheme="minorHAnsi" w:hAnsiTheme="minorHAnsi"/>
        </w:rPr>
        <w:t xml:space="preserve"> What key questions could this analysis help to address? </w:t>
      </w:r>
      <w:r w:rsidR="003C29F3" w:rsidRPr="00582FB1">
        <w:rPr>
          <w:rFonts w:asciiTheme="minorHAnsi" w:hAnsiTheme="minorHAnsi"/>
          <w:i/>
        </w:rPr>
        <w:t>(see next step for additional discussion)</w:t>
      </w:r>
    </w:p>
    <w:p w14:paraId="6B8C9993" w14:textId="77777777" w:rsidR="006F57E7" w:rsidRPr="00582FB1" w:rsidRDefault="00BF3A09" w:rsidP="00316294">
      <w:pPr>
        <w:pStyle w:val="Default"/>
        <w:numPr>
          <w:ilvl w:val="0"/>
          <w:numId w:val="35"/>
        </w:numPr>
        <w:spacing w:before="120"/>
        <w:rPr>
          <w:rFonts w:asciiTheme="minorHAnsi" w:hAnsiTheme="minorHAnsi"/>
        </w:rPr>
      </w:pPr>
      <w:r w:rsidRPr="00582FB1">
        <w:rPr>
          <w:rFonts w:asciiTheme="minorHAnsi" w:hAnsiTheme="minorHAnsi"/>
        </w:rPr>
        <w:lastRenderedPageBreak/>
        <w:t xml:space="preserve">What market analysis pathway </w:t>
      </w:r>
      <w:r w:rsidR="007B0332" w:rsidRPr="00582FB1">
        <w:rPr>
          <w:rFonts w:asciiTheme="minorHAnsi" w:hAnsiTheme="minorHAnsi"/>
        </w:rPr>
        <w:t>could be selected based on the available data</w:t>
      </w:r>
      <w:r w:rsidR="004F1826">
        <w:rPr>
          <w:rFonts w:asciiTheme="minorHAnsi" w:hAnsiTheme="minorHAnsi"/>
        </w:rPr>
        <w:t>?</w:t>
      </w:r>
      <w:r w:rsidR="007B0332" w:rsidRPr="00582FB1">
        <w:rPr>
          <w:rFonts w:asciiTheme="minorHAnsi" w:hAnsiTheme="minorHAnsi"/>
        </w:rPr>
        <w:t xml:space="preserve"> </w:t>
      </w:r>
      <w:r w:rsidRPr="00316294">
        <w:rPr>
          <w:rFonts w:asciiTheme="minorHAnsi" w:hAnsiTheme="minorHAnsi"/>
          <w:i/>
        </w:rPr>
        <w:t>(see next step for additional detail</w:t>
      </w:r>
      <w:r w:rsidR="0001711B" w:rsidRPr="00316294">
        <w:rPr>
          <w:rFonts w:asciiTheme="minorHAnsi" w:hAnsiTheme="minorHAnsi"/>
          <w:i/>
        </w:rPr>
        <w:t xml:space="preserve"> on what data is necessary to support each pathway</w:t>
      </w:r>
      <w:r w:rsidRPr="00316294">
        <w:rPr>
          <w:rFonts w:asciiTheme="minorHAnsi" w:hAnsiTheme="minorHAnsi"/>
          <w:i/>
        </w:rPr>
        <w:t>)</w:t>
      </w:r>
    </w:p>
    <w:p w14:paraId="0BEC8980" w14:textId="77777777" w:rsidR="00522B20" w:rsidRPr="00D2439C" w:rsidRDefault="007B0332" w:rsidP="00D2439C">
      <w:pPr>
        <w:pStyle w:val="Default"/>
        <w:numPr>
          <w:ilvl w:val="0"/>
          <w:numId w:val="35"/>
        </w:numPr>
        <w:spacing w:before="120"/>
        <w:rPr>
          <w:rFonts w:asciiTheme="minorHAnsi" w:hAnsiTheme="minorHAnsi"/>
        </w:rPr>
      </w:pPr>
      <w:r w:rsidRPr="00257744">
        <w:rPr>
          <w:rFonts w:asciiTheme="minorHAnsi" w:hAnsiTheme="minorHAnsi"/>
        </w:rPr>
        <w:t xml:space="preserve">How could the available data </w:t>
      </w:r>
      <w:r w:rsidRPr="000F1189">
        <w:rPr>
          <w:rFonts w:asciiTheme="minorHAnsi" w:hAnsiTheme="minorHAnsi"/>
        </w:rPr>
        <w:t xml:space="preserve">potentially </w:t>
      </w:r>
      <w:r w:rsidRPr="00DF5CD4">
        <w:rPr>
          <w:rFonts w:asciiTheme="minorHAnsi" w:hAnsiTheme="minorHAnsi"/>
        </w:rPr>
        <w:t>inform us about the state of building energy in your city?</w:t>
      </w:r>
    </w:p>
    <w:p w14:paraId="0C63B8F6" w14:textId="77777777" w:rsidR="00522B20" w:rsidRPr="00316294" w:rsidRDefault="00522B20" w:rsidP="006B00E6">
      <w:pPr>
        <w:pStyle w:val="Default"/>
        <w:ind w:left="720"/>
        <w:rPr>
          <w:rFonts w:asciiTheme="minorHAnsi" w:hAnsiTheme="minorHAnsi" w:cs="Verdana"/>
          <w:color w:val="auto"/>
        </w:rPr>
      </w:pPr>
    </w:p>
    <w:p w14:paraId="68BB7774" w14:textId="77777777" w:rsidR="00522B20" w:rsidRPr="00257744" w:rsidRDefault="00522B20" w:rsidP="000B11E8">
      <w:pPr>
        <w:pStyle w:val="Heading1"/>
      </w:pPr>
      <w:r w:rsidRPr="004F1826">
        <w:t>Conduct</w:t>
      </w:r>
      <w:r w:rsidRPr="00582FB1">
        <w:t xml:space="preserve"> a market analysis of the local building stock</w:t>
      </w:r>
    </w:p>
    <w:p w14:paraId="7AE27EEB" w14:textId="77777777" w:rsidR="00522B20" w:rsidRPr="00841DFE" w:rsidRDefault="00522B20" w:rsidP="00522B20">
      <w:pPr>
        <w:autoSpaceDE w:val="0"/>
        <w:autoSpaceDN w:val="0"/>
        <w:adjustRightInd w:val="0"/>
        <w:rPr>
          <w:rFonts w:asciiTheme="minorHAnsi" w:hAnsiTheme="minorHAnsi" w:cstheme="minorBidi"/>
          <w:sz w:val="24"/>
          <w:szCs w:val="24"/>
        </w:rPr>
      </w:pPr>
    </w:p>
    <w:p w14:paraId="5E2BFF25" w14:textId="77777777" w:rsidR="003C29F3" w:rsidRPr="005B589F" w:rsidRDefault="003C29F3" w:rsidP="00522B20">
      <w:pPr>
        <w:autoSpaceDE w:val="0"/>
        <w:autoSpaceDN w:val="0"/>
        <w:adjustRightInd w:val="0"/>
        <w:rPr>
          <w:rFonts w:asciiTheme="minorHAnsi" w:hAnsiTheme="minorHAnsi" w:cstheme="minorBidi"/>
          <w:sz w:val="24"/>
          <w:szCs w:val="24"/>
        </w:rPr>
      </w:pPr>
      <w:r w:rsidRPr="005B589F">
        <w:rPr>
          <w:rFonts w:asciiTheme="minorHAnsi" w:hAnsiTheme="minorHAnsi" w:cstheme="minorBidi"/>
          <w:sz w:val="24"/>
          <w:szCs w:val="24"/>
        </w:rPr>
        <w:t>Once data</w:t>
      </w:r>
      <w:r w:rsidR="001A74B4" w:rsidRPr="005B589F">
        <w:rPr>
          <w:rFonts w:asciiTheme="minorHAnsi" w:hAnsiTheme="minorHAnsi" w:cstheme="minorBidi"/>
          <w:sz w:val="24"/>
          <w:szCs w:val="24"/>
        </w:rPr>
        <w:t xml:space="preserve"> sources have been identified and collected, a local market analysis can be completed. </w:t>
      </w:r>
    </w:p>
    <w:p w14:paraId="58E81F5B" w14:textId="77777777" w:rsidR="003C29F3" w:rsidRPr="00316294" w:rsidRDefault="0001711B" w:rsidP="00F07240">
      <w:pPr>
        <w:pStyle w:val="Default"/>
        <w:rPr>
          <w:rFonts w:asciiTheme="minorHAnsi" w:hAnsiTheme="minorHAnsi" w:cs="Verdana"/>
          <w:color w:val="auto"/>
        </w:rPr>
      </w:pPr>
      <w:r w:rsidRPr="00316294">
        <w:rPr>
          <w:rFonts w:asciiTheme="minorHAnsi" w:hAnsiTheme="minorHAnsi" w:cs="Verdana"/>
          <w:color w:val="auto"/>
        </w:rPr>
        <w:t xml:space="preserve">Key questions often asked by </w:t>
      </w:r>
      <w:r w:rsidR="00E54321" w:rsidRPr="00316294">
        <w:rPr>
          <w:rFonts w:asciiTheme="minorHAnsi" w:hAnsiTheme="minorHAnsi" w:cs="Verdana"/>
          <w:color w:val="auto"/>
        </w:rPr>
        <w:t xml:space="preserve">city policymakers include: </w:t>
      </w:r>
    </w:p>
    <w:p w14:paraId="5C07DBFF" w14:textId="77777777" w:rsidR="003C29F3" w:rsidRPr="00316294" w:rsidRDefault="003C29F3" w:rsidP="00316294">
      <w:pPr>
        <w:pStyle w:val="Default"/>
        <w:numPr>
          <w:ilvl w:val="0"/>
          <w:numId w:val="21"/>
        </w:numPr>
        <w:rPr>
          <w:rFonts w:asciiTheme="minorHAnsi" w:hAnsiTheme="minorHAnsi" w:cs="Verdana"/>
          <w:color w:val="auto"/>
        </w:rPr>
      </w:pPr>
      <w:r w:rsidRPr="00316294">
        <w:rPr>
          <w:rFonts w:asciiTheme="minorHAnsi" w:hAnsiTheme="minorHAnsi" w:cs="Verdana"/>
          <w:color w:val="auto"/>
        </w:rPr>
        <w:t>W</w:t>
      </w:r>
      <w:r w:rsidR="00E54321" w:rsidRPr="00316294">
        <w:rPr>
          <w:rFonts w:asciiTheme="minorHAnsi" w:hAnsiTheme="minorHAnsi" w:cs="Verdana"/>
          <w:color w:val="auto"/>
        </w:rPr>
        <w:t xml:space="preserve">hat is the current baseline of </w:t>
      </w:r>
      <w:r w:rsidRPr="00316294">
        <w:rPr>
          <w:rFonts w:asciiTheme="minorHAnsi" w:hAnsiTheme="minorHAnsi" w:cs="Verdana"/>
          <w:color w:val="auto"/>
        </w:rPr>
        <w:t xml:space="preserve">heat pump installations in my city? </w:t>
      </w:r>
    </w:p>
    <w:p w14:paraId="348F9BBB" w14:textId="77777777" w:rsidR="003C29F3" w:rsidRPr="00316294" w:rsidRDefault="003C29F3" w:rsidP="00316294">
      <w:pPr>
        <w:pStyle w:val="Default"/>
        <w:numPr>
          <w:ilvl w:val="0"/>
          <w:numId w:val="21"/>
        </w:numPr>
        <w:rPr>
          <w:rFonts w:asciiTheme="minorHAnsi" w:hAnsiTheme="minorHAnsi" w:cs="Verdana"/>
          <w:color w:val="auto"/>
        </w:rPr>
      </w:pPr>
      <w:r w:rsidRPr="00316294">
        <w:rPr>
          <w:rFonts w:asciiTheme="minorHAnsi" w:hAnsiTheme="minorHAnsi" w:cs="Verdana"/>
          <w:color w:val="auto"/>
        </w:rPr>
        <w:t>W</w:t>
      </w:r>
      <w:r w:rsidR="00E54321" w:rsidRPr="00316294">
        <w:rPr>
          <w:rFonts w:asciiTheme="minorHAnsi" w:hAnsiTheme="minorHAnsi" w:cs="Verdana"/>
          <w:color w:val="auto"/>
        </w:rPr>
        <w:t xml:space="preserve">hat is the </w:t>
      </w:r>
      <w:r w:rsidRPr="00316294">
        <w:rPr>
          <w:rFonts w:asciiTheme="minorHAnsi" w:hAnsiTheme="minorHAnsi" w:cs="Verdana"/>
          <w:color w:val="auto"/>
        </w:rPr>
        <w:t>potential for heat pump deployment in the buildings in my city?</w:t>
      </w:r>
    </w:p>
    <w:p w14:paraId="04562376" w14:textId="77777777" w:rsidR="0001711B" w:rsidRPr="00316294" w:rsidRDefault="003C29F3" w:rsidP="00316294">
      <w:pPr>
        <w:pStyle w:val="Default"/>
        <w:numPr>
          <w:ilvl w:val="0"/>
          <w:numId w:val="21"/>
        </w:numPr>
        <w:rPr>
          <w:rFonts w:asciiTheme="minorHAnsi" w:hAnsiTheme="minorHAnsi" w:cs="Verdana"/>
          <w:color w:val="auto"/>
        </w:rPr>
      </w:pPr>
      <w:r w:rsidRPr="00316294">
        <w:rPr>
          <w:rFonts w:asciiTheme="minorHAnsi" w:hAnsiTheme="minorHAnsi" w:cs="Verdana"/>
          <w:color w:val="auto"/>
        </w:rPr>
        <w:t>Which building occupants would be most likely to adopt heat pump technologies?</w:t>
      </w:r>
    </w:p>
    <w:p w14:paraId="779B2720" w14:textId="77777777" w:rsidR="003C29F3" w:rsidRPr="00316294" w:rsidRDefault="003C29F3" w:rsidP="003C29F3">
      <w:pPr>
        <w:pStyle w:val="Default"/>
        <w:rPr>
          <w:rFonts w:asciiTheme="minorHAnsi" w:hAnsiTheme="minorHAnsi" w:cs="Verdana"/>
          <w:color w:val="auto"/>
        </w:rPr>
      </w:pPr>
    </w:p>
    <w:p w14:paraId="1638FED9" w14:textId="77777777" w:rsidR="00522B20" w:rsidRPr="00582FB1" w:rsidRDefault="00582FB1" w:rsidP="00257744">
      <w:pPr>
        <w:pStyle w:val="Default"/>
        <w:rPr>
          <w:rFonts w:asciiTheme="minorHAnsi" w:hAnsiTheme="minorHAnsi" w:cs="Verdana"/>
          <w:color w:val="auto"/>
        </w:rPr>
      </w:pPr>
      <w:r w:rsidRPr="00316294">
        <w:rPr>
          <w:rFonts w:asciiTheme="minorHAnsi" w:hAnsiTheme="minorHAnsi" w:cs="Verdana"/>
          <w:color w:val="auto"/>
        </w:rPr>
        <w:t xml:space="preserve">A variety of approaches </w:t>
      </w:r>
      <w:r>
        <w:rPr>
          <w:rFonts w:asciiTheme="minorHAnsi" w:hAnsiTheme="minorHAnsi" w:cs="Verdana"/>
          <w:color w:val="auto"/>
        </w:rPr>
        <w:t xml:space="preserve">to analyzing the collected data can be taken </w:t>
      </w:r>
      <w:r w:rsidRPr="00582FB1">
        <w:rPr>
          <w:rFonts w:asciiTheme="minorHAnsi" w:hAnsiTheme="minorHAnsi" w:cs="Verdana"/>
          <w:color w:val="auto"/>
        </w:rPr>
        <w:t xml:space="preserve">to </w:t>
      </w:r>
      <w:r>
        <w:rPr>
          <w:rFonts w:asciiTheme="minorHAnsi" w:hAnsiTheme="minorHAnsi" w:cs="Verdana"/>
          <w:color w:val="auto"/>
        </w:rPr>
        <w:t>address these questions. I</w:t>
      </w:r>
      <w:r w:rsidRPr="00582FB1">
        <w:rPr>
          <w:rFonts w:asciiTheme="minorHAnsi" w:hAnsiTheme="minorHAnsi" w:cs="Verdana"/>
          <w:color w:val="auto"/>
        </w:rPr>
        <w:t>n the four cities, the project team leveraged three approaches</w:t>
      </w:r>
      <w:r w:rsidR="00DF5CD4">
        <w:rPr>
          <w:rFonts w:asciiTheme="minorHAnsi" w:hAnsiTheme="minorHAnsi" w:cs="Verdana"/>
          <w:color w:val="auto"/>
        </w:rPr>
        <w:t>,</w:t>
      </w:r>
      <w:r w:rsidR="00257744">
        <w:rPr>
          <w:rFonts w:asciiTheme="minorHAnsi" w:hAnsiTheme="minorHAnsi" w:cs="Verdana"/>
          <w:color w:val="auto"/>
        </w:rPr>
        <w:t xml:space="preserve"> which all</w:t>
      </w:r>
      <w:r>
        <w:rPr>
          <w:rFonts w:asciiTheme="minorHAnsi" w:hAnsiTheme="minorHAnsi" w:cs="Verdana"/>
          <w:color w:val="auto"/>
        </w:rPr>
        <w:t xml:space="preserve"> established a rough baseline of installations </w:t>
      </w:r>
      <w:r w:rsidR="00257744">
        <w:rPr>
          <w:rFonts w:asciiTheme="minorHAnsi" w:hAnsiTheme="minorHAnsi" w:cs="Verdana"/>
          <w:color w:val="auto"/>
        </w:rPr>
        <w:t xml:space="preserve">then conducted analyses </w:t>
      </w:r>
      <w:r w:rsidR="00F07240" w:rsidRPr="00582FB1">
        <w:rPr>
          <w:rFonts w:asciiTheme="minorHAnsi" w:hAnsiTheme="minorHAnsi" w:cs="Verdana"/>
          <w:color w:val="auto"/>
        </w:rPr>
        <w:t>to determine the</w:t>
      </w:r>
      <w:r w:rsidR="00522B20" w:rsidRPr="00582FB1">
        <w:rPr>
          <w:rFonts w:asciiTheme="minorHAnsi" w:hAnsiTheme="minorHAnsi" w:cs="Verdana"/>
          <w:color w:val="auto"/>
        </w:rPr>
        <w:t xml:space="preserve"> </w:t>
      </w:r>
      <w:r w:rsidR="00C00C0C">
        <w:rPr>
          <w:rFonts w:asciiTheme="minorHAnsi" w:hAnsiTheme="minorHAnsi" w:cs="Verdana"/>
          <w:color w:val="auto"/>
        </w:rPr>
        <w:t>potential</w:t>
      </w:r>
      <w:r w:rsidR="00C00C0C" w:rsidRPr="00582FB1">
        <w:rPr>
          <w:rFonts w:asciiTheme="minorHAnsi" w:hAnsiTheme="minorHAnsi" w:cs="Verdana"/>
          <w:color w:val="auto"/>
        </w:rPr>
        <w:t xml:space="preserve"> </w:t>
      </w:r>
      <w:r w:rsidR="00522B20" w:rsidRPr="00582FB1">
        <w:rPr>
          <w:rFonts w:asciiTheme="minorHAnsi" w:hAnsiTheme="minorHAnsi" w:cs="Verdana"/>
          <w:color w:val="auto"/>
        </w:rPr>
        <w:t>market</w:t>
      </w:r>
      <w:r w:rsidR="00DF5CD4">
        <w:rPr>
          <w:rFonts w:asciiTheme="minorHAnsi" w:hAnsiTheme="minorHAnsi" w:cs="Verdana"/>
          <w:color w:val="auto"/>
        </w:rPr>
        <w:t xml:space="preserve"> </w:t>
      </w:r>
      <w:r w:rsidR="00522B20" w:rsidRPr="00582FB1">
        <w:rPr>
          <w:rFonts w:asciiTheme="minorHAnsi" w:hAnsiTheme="minorHAnsi" w:cs="Verdana"/>
          <w:color w:val="auto"/>
        </w:rPr>
        <w:t xml:space="preserve">for future </w:t>
      </w:r>
      <w:r w:rsidR="00DF5CD4">
        <w:rPr>
          <w:rFonts w:asciiTheme="minorHAnsi" w:hAnsiTheme="minorHAnsi" w:cs="Verdana"/>
          <w:color w:val="auto"/>
        </w:rPr>
        <w:t xml:space="preserve">technology </w:t>
      </w:r>
      <w:r w:rsidR="00522B20" w:rsidRPr="00582FB1">
        <w:rPr>
          <w:rFonts w:asciiTheme="minorHAnsi" w:hAnsiTheme="minorHAnsi" w:cs="Verdana"/>
          <w:color w:val="auto"/>
        </w:rPr>
        <w:t xml:space="preserve">deployment </w:t>
      </w:r>
      <w:r w:rsidR="00F07240" w:rsidRPr="00582FB1">
        <w:rPr>
          <w:rFonts w:asciiTheme="minorHAnsi" w:hAnsiTheme="minorHAnsi" w:cs="Verdana"/>
          <w:color w:val="auto"/>
        </w:rPr>
        <w:t xml:space="preserve">and </w:t>
      </w:r>
      <w:r w:rsidR="00257744">
        <w:rPr>
          <w:rFonts w:asciiTheme="minorHAnsi" w:hAnsiTheme="minorHAnsi" w:cs="Verdana"/>
          <w:color w:val="auto"/>
        </w:rPr>
        <w:t xml:space="preserve">the </w:t>
      </w:r>
      <w:r w:rsidR="00F07240" w:rsidRPr="00582FB1">
        <w:rPr>
          <w:rFonts w:asciiTheme="minorHAnsi" w:hAnsiTheme="minorHAnsi" w:cs="Verdana"/>
          <w:color w:val="auto"/>
        </w:rPr>
        <w:t>customer segments</w:t>
      </w:r>
      <w:r w:rsidR="00257744">
        <w:rPr>
          <w:rFonts w:asciiTheme="minorHAnsi" w:hAnsiTheme="minorHAnsi" w:cs="Verdana"/>
          <w:color w:val="auto"/>
        </w:rPr>
        <w:t xml:space="preserve"> who would most likely adopt these technologies</w:t>
      </w:r>
      <w:r w:rsidR="00F07240" w:rsidRPr="00582FB1">
        <w:rPr>
          <w:rFonts w:asciiTheme="minorHAnsi" w:hAnsiTheme="minorHAnsi" w:cs="Verdana"/>
          <w:color w:val="auto"/>
        </w:rPr>
        <w:t xml:space="preserve">. </w:t>
      </w:r>
    </w:p>
    <w:p w14:paraId="23958700" w14:textId="77777777" w:rsidR="00522B20" w:rsidRPr="00582FB1" w:rsidRDefault="00522B20" w:rsidP="00522B20">
      <w:pPr>
        <w:pStyle w:val="Default"/>
        <w:rPr>
          <w:rFonts w:asciiTheme="minorHAnsi" w:hAnsiTheme="minorHAnsi" w:cs="Verdana"/>
          <w:color w:val="auto"/>
        </w:rPr>
      </w:pPr>
    </w:p>
    <w:p w14:paraId="3A68DF5F" w14:textId="77777777" w:rsidR="00F07240" w:rsidRPr="00582FB1" w:rsidRDefault="00F07240" w:rsidP="00F07240">
      <w:pPr>
        <w:pStyle w:val="Default"/>
        <w:rPr>
          <w:rFonts w:asciiTheme="minorHAnsi" w:hAnsiTheme="minorHAnsi" w:cs="Verdana"/>
          <w:color w:val="auto"/>
        </w:rPr>
      </w:pPr>
      <w:r w:rsidRPr="00582FB1">
        <w:rPr>
          <w:rFonts w:asciiTheme="minorHAnsi" w:hAnsiTheme="minorHAnsi" w:cs="Verdana"/>
          <w:color w:val="auto"/>
        </w:rPr>
        <w:t xml:space="preserve">The approaches used include:  </w:t>
      </w:r>
    </w:p>
    <w:p w14:paraId="644E0737" w14:textId="77777777" w:rsidR="00F07240" w:rsidRPr="00582FB1" w:rsidRDefault="00F07240" w:rsidP="006578E3">
      <w:pPr>
        <w:pStyle w:val="Default"/>
        <w:numPr>
          <w:ilvl w:val="0"/>
          <w:numId w:val="29"/>
        </w:numPr>
        <w:rPr>
          <w:rFonts w:asciiTheme="minorHAnsi" w:hAnsiTheme="minorHAnsi" w:cs="Verdana"/>
          <w:color w:val="auto"/>
        </w:rPr>
      </w:pPr>
      <w:r w:rsidRPr="00582FB1">
        <w:rPr>
          <w:rFonts w:asciiTheme="minorHAnsi" w:hAnsiTheme="minorHAnsi" w:cs="Verdana"/>
          <w:b/>
          <w:color w:val="auto"/>
        </w:rPr>
        <w:t>MCG’s</w:t>
      </w:r>
      <w:r w:rsidR="005D7E17">
        <w:rPr>
          <w:rFonts w:asciiTheme="minorHAnsi" w:hAnsiTheme="minorHAnsi" w:cs="Verdana"/>
          <w:b/>
          <w:color w:val="auto"/>
        </w:rPr>
        <w:t xml:space="preserve"> technology adoption</w:t>
      </w:r>
      <w:r w:rsidRPr="00582FB1">
        <w:rPr>
          <w:rFonts w:asciiTheme="minorHAnsi" w:hAnsiTheme="minorHAnsi" w:cs="Verdana"/>
          <w:b/>
          <w:color w:val="auto"/>
        </w:rPr>
        <w:t xml:space="preserve"> index</w:t>
      </w:r>
      <w:r w:rsidR="00DF5CD4">
        <w:rPr>
          <w:rFonts w:asciiTheme="minorHAnsi" w:hAnsiTheme="minorHAnsi" w:cs="Verdana"/>
          <w:b/>
          <w:color w:val="auto"/>
        </w:rPr>
        <w:t xml:space="preserve">, </w:t>
      </w:r>
      <w:r w:rsidR="00DF5CD4">
        <w:rPr>
          <w:rFonts w:asciiTheme="minorHAnsi" w:hAnsiTheme="minorHAnsi" w:cs="Verdana"/>
          <w:color w:val="auto"/>
        </w:rPr>
        <w:t xml:space="preserve">which focuses on identifying </w:t>
      </w:r>
      <w:r w:rsidR="00002492">
        <w:rPr>
          <w:rFonts w:asciiTheme="minorHAnsi" w:hAnsiTheme="minorHAnsi" w:cs="Verdana"/>
          <w:color w:val="auto"/>
        </w:rPr>
        <w:t>and mapping</w:t>
      </w:r>
      <w:r w:rsidR="00DF5CD4">
        <w:rPr>
          <w:rFonts w:asciiTheme="minorHAnsi" w:hAnsiTheme="minorHAnsi" w:cs="Verdana"/>
          <w:color w:val="auto"/>
        </w:rPr>
        <w:t xml:space="preserve"> market segments that are most likely to adopt specific RH&amp;C technologies based on </w:t>
      </w:r>
      <w:r w:rsidR="00002492">
        <w:rPr>
          <w:rFonts w:asciiTheme="minorHAnsi" w:hAnsiTheme="minorHAnsi" w:cs="Verdana"/>
          <w:color w:val="auto"/>
        </w:rPr>
        <w:t>building</w:t>
      </w:r>
      <w:r w:rsidR="00DF5CD4">
        <w:rPr>
          <w:rFonts w:asciiTheme="minorHAnsi" w:hAnsiTheme="minorHAnsi" w:cs="Verdana"/>
          <w:color w:val="auto"/>
        </w:rPr>
        <w:t>, economic, and demographic characteristics</w:t>
      </w:r>
      <w:r w:rsidRPr="00582FB1">
        <w:rPr>
          <w:rFonts w:asciiTheme="minorHAnsi" w:hAnsiTheme="minorHAnsi" w:cs="Verdana"/>
          <w:color w:val="auto"/>
        </w:rPr>
        <w:t xml:space="preserve">  </w:t>
      </w:r>
    </w:p>
    <w:p w14:paraId="2077C2AB" w14:textId="77777777" w:rsidR="00F07240" w:rsidRPr="00582FB1" w:rsidRDefault="00F07240" w:rsidP="006578E3">
      <w:pPr>
        <w:pStyle w:val="Default"/>
        <w:numPr>
          <w:ilvl w:val="0"/>
          <w:numId w:val="29"/>
        </w:numPr>
        <w:rPr>
          <w:rFonts w:asciiTheme="minorHAnsi" w:hAnsiTheme="minorHAnsi" w:cs="Verdana"/>
          <w:color w:val="auto"/>
        </w:rPr>
      </w:pPr>
      <w:r w:rsidRPr="00582FB1">
        <w:rPr>
          <w:rFonts w:asciiTheme="minorHAnsi" w:hAnsiTheme="minorHAnsi" w:cs="Verdana"/>
          <w:b/>
          <w:color w:val="auto"/>
        </w:rPr>
        <w:t>DNV GL’s analysis</w:t>
      </w:r>
      <w:r w:rsidRPr="00582FB1">
        <w:rPr>
          <w:rFonts w:asciiTheme="minorHAnsi" w:hAnsiTheme="minorHAnsi" w:cs="Verdana"/>
          <w:color w:val="auto"/>
        </w:rPr>
        <w:t xml:space="preserve"> on new technology adoption curves and end use survey data</w:t>
      </w:r>
    </w:p>
    <w:p w14:paraId="2D73CD00" w14:textId="77777777" w:rsidR="00F07240" w:rsidRPr="00582FB1" w:rsidRDefault="00F07240" w:rsidP="006578E3">
      <w:pPr>
        <w:pStyle w:val="Default"/>
        <w:numPr>
          <w:ilvl w:val="0"/>
          <w:numId w:val="29"/>
        </w:numPr>
        <w:rPr>
          <w:rFonts w:asciiTheme="minorHAnsi" w:hAnsiTheme="minorHAnsi" w:cs="Verdana"/>
          <w:color w:val="auto"/>
        </w:rPr>
      </w:pPr>
      <w:r w:rsidRPr="00582FB1">
        <w:rPr>
          <w:rFonts w:asciiTheme="minorHAnsi" w:hAnsiTheme="minorHAnsi" w:cs="Verdana"/>
          <w:b/>
          <w:color w:val="auto"/>
        </w:rPr>
        <w:t>Radiant Labs permit scraping and mapping</w:t>
      </w:r>
      <w:r w:rsidRPr="00582FB1">
        <w:rPr>
          <w:rFonts w:asciiTheme="minorHAnsi" w:hAnsiTheme="minorHAnsi" w:cs="Verdana"/>
          <w:color w:val="auto"/>
        </w:rPr>
        <w:t xml:space="preserve"> software with GIS customer targeting tool</w:t>
      </w:r>
    </w:p>
    <w:p w14:paraId="4E8C394A" w14:textId="77777777" w:rsidR="00522B20" w:rsidRPr="00582FB1" w:rsidRDefault="00522B20" w:rsidP="00522B20">
      <w:pPr>
        <w:pStyle w:val="Default"/>
        <w:rPr>
          <w:rFonts w:asciiTheme="minorHAnsi" w:hAnsiTheme="minorHAnsi" w:cs="Verdana"/>
          <w:color w:val="auto"/>
        </w:rPr>
      </w:pPr>
    </w:p>
    <w:p w14:paraId="747E9FE0" w14:textId="77777777" w:rsidR="00522B20" w:rsidRDefault="00DF5CD4" w:rsidP="00522B20">
      <w:pPr>
        <w:pStyle w:val="Default"/>
        <w:rPr>
          <w:rFonts w:asciiTheme="minorHAnsi" w:hAnsiTheme="minorHAnsi" w:cs="Verdana"/>
          <w:color w:val="auto"/>
        </w:rPr>
      </w:pPr>
      <w:r>
        <w:rPr>
          <w:rFonts w:asciiTheme="minorHAnsi" w:hAnsiTheme="minorHAnsi" w:cs="Verdana"/>
          <w:color w:val="auto"/>
        </w:rPr>
        <w:t xml:space="preserve">The methodologies for these approaches are summarize below. </w:t>
      </w:r>
    </w:p>
    <w:p w14:paraId="38C845F8" w14:textId="77777777" w:rsidR="00DF5CD4" w:rsidRPr="00582FB1" w:rsidRDefault="00DF5CD4" w:rsidP="00522B20">
      <w:pPr>
        <w:pStyle w:val="Default"/>
        <w:rPr>
          <w:rFonts w:asciiTheme="minorHAnsi" w:hAnsiTheme="minorHAnsi" w:cs="Verdana"/>
          <w:color w:val="auto"/>
        </w:rPr>
      </w:pPr>
    </w:p>
    <w:p w14:paraId="7630FCA7" w14:textId="77777777" w:rsidR="00F07240" w:rsidRPr="00582FB1" w:rsidRDefault="00F07240" w:rsidP="006578E3">
      <w:pPr>
        <w:pStyle w:val="Default"/>
        <w:numPr>
          <w:ilvl w:val="0"/>
          <w:numId w:val="28"/>
        </w:numPr>
        <w:rPr>
          <w:rFonts w:asciiTheme="minorHAnsi" w:hAnsiTheme="minorHAnsi"/>
          <w:b/>
        </w:rPr>
      </w:pPr>
      <w:r w:rsidRPr="00582FB1">
        <w:rPr>
          <w:rFonts w:ascii="Verdana" w:hAnsi="Verdana" w:cs="Verdana"/>
          <w:b/>
          <w:color w:val="009FDA"/>
          <w:sz w:val="26"/>
          <w:szCs w:val="18"/>
        </w:rPr>
        <w:t xml:space="preserve">MCG’s </w:t>
      </w:r>
      <w:r w:rsidR="005D7E17">
        <w:rPr>
          <w:rFonts w:ascii="Verdana" w:hAnsi="Verdana" w:cs="Verdana"/>
          <w:b/>
          <w:color w:val="009FDA"/>
          <w:sz w:val="26"/>
          <w:szCs w:val="18"/>
        </w:rPr>
        <w:t>Technology Adoption</w:t>
      </w:r>
      <w:r w:rsidRPr="00582FB1">
        <w:rPr>
          <w:rFonts w:ascii="Verdana" w:hAnsi="Verdana" w:cs="Verdana"/>
          <w:b/>
          <w:color w:val="009FDA"/>
          <w:sz w:val="26"/>
          <w:szCs w:val="18"/>
        </w:rPr>
        <w:t xml:space="preserve"> Index</w:t>
      </w:r>
    </w:p>
    <w:p w14:paraId="50599066" w14:textId="77777777" w:rsidR="005D7E17" w:rsidRDefault="005D7E17" w:rsidP="00F07240">
      <w:pPr>
        <w:autoSpaceDE w:val="0"/>
        <w:autoSpaceDN w:val="0"/>
        <w:adjustRightInd w:val="0"/>
        <w:rPr>
          <w:rFonts w:asciiTheme="minorHAnsi" w:hAnsiTheme="minorHAnsi" w:cs="Segoe UI Semilight"/>
          <w:color w:val="000000"/>
          <w:sz w:val="24"/>
          <w:szCs w:val="24"/>
        </w:rPr>
      </w:pPr>
    </w:p>
    <w:p w14:paraId="17056B1B" w14:textId="77777777" w:rsidR="005D7E17" w:rsidRDefault="005D7E17" w:rsidP="00F07240">
      <w:pPr>
        <w:autoSpaceDE w:val="0"/>
        <w:autoSpaceDN w:val="0"/>
        <w:adjustRightInd w:val="0"/>
        <w:rPr>
          <w:rFonts w:asciiTheme="minorHAnsi" w:hAnsiTheme="minorHAnsi" w:cs="Segoe UI Semilight"/>
          <w:b/>
          <w:color w:val="000000"/>
          <w:sz w:val="24"/>
          <w:szCs w:val="24"/>
        </w:rPr>
      </w:pPr>
      <w:r>
        <w:rPr>
          <w:rFonts w:asciiTheme="minorHAnsi" w:hAnsiTheme="minorHAnsi" w:cs="Segoe UI Semilight"/>
          <w:b/>
          <w:color w:val="000000"/>
          <w:sz w:val="24"/>
          <w:szCs w:val="24"/>
        </w:rPr>
        <w:t>Background and goals of the Index</w:t>
      </w:r>
    </w:p>
    <w:p w14:paraId="45EA9A50" w14:textId="77777777" w:rsidR="005D7E17" w:rsidRPr="00316294" w:rsidRDefault="005D7E17" w:rsidP="00F07240">
      <w:pPr>
        <w:autoSpaceDE w:val="0"/>
        <w:autoSpaceDN w:val="0"/>
        <w:adjustRightInd w:val="0"/>
        <w:rPr>
          <w:rFonts w:asciiTheme="minorHAnsi" w:hAnsiTheme="minorHAnsi" w:cs="Segoe UI Semilight"/>
          <w:b/>
          <w:color w:val="000000"/>
          <w:sz w:val="24"/>
          <w:szCs w:val="24"/>
        </w:rPr>
      </w:pPr>
    </w:p>
    <w:p w14:paraId="542ECF0B" w14:textId="77777777" w:rsidR="005D7E17" w:rsidRDefault="00DF5CD4"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MCG’s approach, deployed in New York City and Washington D.C., focuses on using available data sources to provide city leaders with </w:t>
      </w:r>
      <w:r w:rsidR="005D7E17">
        <w:rPr>
          <w:rFonts w:asciiTheme="minorHAnsi" w:hAnsiTheme="minorHAnsi" w:cs="Segoe UI Semilight"/>
          <w:color w:val="000000"/>
          <w:sz w:val="24"/>
          <w:szCs w:val="24"/>
        </w:rPr>
        <w:t xml:space="preserve">actionable information about their local building stock </w:t>
      </w:r>
      <w:r w:rsidR="00002492">
        <w:rPr>
          <w:rFonts w:asciiTheme="minorHAnsi" w:hAnsiTheme="minorHAnsi" w:cs="Segoe UI Semilight"/>
          <w:color w:val="000000"/>
          <w:sz w:val="24"/>
          <w:szCs w:val="24"/>
        </w:rPr>
        <w:t xml:space="preserve">and homeowners </w:t>
      </w:r>
      <w:r w:rsidR="005D7E17">
        <w:rPr>
          <w:rFonts w:asciiTheme="minorHAnsi" w:hAnsiTheme="minorHAnsi" w:cs="Segoe UI Semilight"/>
          <w:color w:val="000000"/>
          <w:sz w:val="24"/>
          <w:szCs w:val="24"/>
        </w:rPr>
        <w:t xml:space="preserve">in order to drive thermal decarbonization policy and program development. </w:t>
      </w:r>
    </w:p>
    <w:p w14:paraId="22C9CCFD" w14:textId="77777777" w:rsidR="005D7E17" w:rsidRDefault="005D7E17" w:rsidP="00F07240">
      <w:pPr>
        <w:autoSpaceDE w:val="0"/>
        <w:autoSpaceDN w:val="0"/>
        <w:adjustRightInd w:val="0"/>
        <w:rPr>
          <w:rFonts w:asciiTheme="minorHAnsi" w:hAnsiTheme="minorHAnsi" w:cs="Segoe UI Semilight"/>
          <w:color w:val="000000"/>
          <w:sz w:val="24"/>
          <w:szCs w:val="24"/>
        </w:rPr>
      </w:pPr>
    </w:p>
    <w:p w14:paraId="32C9C048" w14:textId="77777777" w:rsidR="00DF5CD4" w:rsidRDefault="005D7E17"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While installations of RH&amp;C technologies are technically feasible in most buildings, some aspects of these buildings could significantly increase installed costs and deter owners from adopting </w:t>
      </w:r>
      <w:r w:rsidR="00002492">
        <w:rPr>
          <w:rFonts w:asciiTheme="minorHAnsi" w:hAnsiTheme="minorHAnsi" w:cs="Segoe UI Semilight"/>
          <w:color w:val="000000"/>
          <w:sz w:val="24"/>
          <w:szCs w:val="24"/>
        </w:rPr>
        <w:t>certain</w:t>
      </w:r>
      <w:r>
        <w:rPr>
          <w:rFonts w:asciiTheme="minorHAnsi" w:hAnsiTheme="minorHAnsi" w:cs="Segoe UI Semilight"/>
          <w:color w:val="000000"/>
          <w:sz w:val="24"/>
          <w:szCs w:val="24"/>
        </w:rPr>
        <w:t xml:space="preserve"> technolog</w:t>
      </w:r>
      <w:r w:rsidR="00002492">
        <w:rPr>
          <w:rFonts w:asciiTheme="minorHAnsi" w:hAnsiTheme="minorHAnsi" w:cs="Segoe UI Semilight"/>
          <w:color w:val="000000"/>
          <w:sz w:val="24"/>
          <w:szCs w:val="24"/>
        </w:rPr>
        <w:t>ies</w:t>
      </w:r>
      <w:r>
        <w:rPr>
          <w:rFonts w:asciiTheme="minorHAnsi" w:hAnsiTheme="minorHAnsi" w:cs="Segoe UI Semilight"/>
          <w:color w:val="000000"/>
          <w:sz w:val="24"/>
          <w:szCs w:val="24"/>
        </w:rPr>
        <w:t xml:space="preserve">. </w:t>
      </w:r>
      <w:r w:rsidR="00EB1F34">
        <w:rPr>
          <w:rFonts w:asciiTheme="minorHAnsi" w:hAnsiTheme="minorHAnsi" w:cs="Segoe UI Semilight"/>
          <w:color w:val="000000"/>
          <w:sz w:val="24"/>
          <w:szCs w:val="24"/>
        </w:rPr>
        <w:t>Thus,</w:t>
      </w:r>
      <w:r>
        <w:rPr>
          <w:rFonts w:asciiTheme="minorHAnsi" w:hAnsiTheme="minorHAnsi" w:cs="Segoe UI Semilight"/>
          <w:color w:val="000000"/>
          <w:sz w:val="24"/>
          <w:szCs w:val="24"/>
        </w:rPr>
        <w:t xml:space="preserve"> the goal of this approach is not to identify which buildings are technically feasible for a given technology, but rather to determine which building owners might be most likely to adopt a technology through assessing a variety of building and demographic factors that indicate th</w:t>
      </w:r>
      <w:r w:rsidR="00002492">
        <w:rPr>
          <w:rFonts w:asciiTheme="minorHAnsi" w:hAnsiTheme="minorHAnsi" w:cs="Segoe UI Semilight"/>
          <w:color w:val="000000"/>
          <w:sz w:val="24"/>
          <w:szCs w:val="24"/>
        </w:rPr>
        <w:t>e ease or affordability of installing a technology</w:t>
      </w:r>
      <w:r>
        <w:rPr>
          <w:rFonts w:asciiTheme="minorHAnsi" w:hAnsiTheme="minorHAnsi" w:cs="Segoe UI Semilight"/>
          <w:color w:val="000000"/>
          <w:sz w:val="24"/>
          <w:szCs w:val="24"/>
        </w:rPr>
        <w:t xml:space="preserve">—or that its occupant might be more or less likely to adopt the technology. Given that RH&amp;C markets are nascent or emerging in most cities, this market segmentation methodology seeks to identify the key market </w:t>
      </w:r>
      <w:r>
        <w:rPr>
          <w:rFonts w:asciiTheme="minorHAnsi" w:hAnsiTheme="minorHAnsi" w:cs="Segoe UI Semilight"/>
          <w:color w:val="000000"/>
          <w:sz w:val="24"/>
          <w:szCs w:val="24"/>
        </w:rPr>
        <w:lastRenderedPageBreak/>
        <w:t xml:space="preserve">segments and buildings where city leaders can focus initial efforts to drive </w:t>
      </w:r>
      <w:r w:rsidR="00002492">
        <w:rPr>
          <w:rFonts w:asciiTheme="minorHAnsi" w:hAnsiTheme="minorHAnsi" w:cs="Segoe UI Semilight"/>
          <w:color w:val="000000"/>
          <w:sz w:val="24"/>
          <w:szCs w:val="24"/>
        </w:rPr>
        <w:t xml:space="preserve">early </w:t>
      </w:r>
      <w:r>
        <w:rPr>
          <w:rFonts w:asciiTheme="minorHAnsi" w:hAnsiTheme="minorHAnsi" w:cs="Segoe UI Semilight"/>
          <w:color w:val="000000"/>
          <w:sz w:val="24"/>
          <w:szCs w:val="24"/>
        </w:rPr>
        <w:t xml:space="preserve">adoption of the RH&amp;C technology in question. </w:t>
      </w:r>
    </w:p>
    <w:p w14:paraId="00E250BE" w14:textId="77777777" w:rsidR="00F32756" w:rsidRDefault="00F32756" w:rsidP="00F07240">
      <w:pPr>
        <w:autoSpaceDE w:val="0"/>
        <w:autoSpaceDN w:val="0"/>
        <w:adjustRightInd w:val="0"/>
        <w:rPr>
          <w:rFonts w:asciiTheme="minorHAnsi" w:hAnsiTheme="minorHAnsi" w:cs="Segoe UI Semilight"/>
          <w:color w:val="000000"/>
          <w:sz w:val="24"/>
          <w:szCs w:val="24"/>
        </w:rPr>
      </w:pPr>
    </w:p>
    <w:p w14:paraId="0540408D" w14:textId="77777777" w:rsidR="00F32756" w:rsidRDefault="00F32756"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To provide this information, this approach:</w:t>
      </w:r>
    </w:p>
    <w:p w14:paraId="0CF90531" w14:textId="77777777" w:rsidR="00F32756" w:rsidRDefault="00904E58" w:rsidP="00316294">
      <w:pPr>
        <w:pStyle w:val="ListParagraph"/>
        <w:numPr>
          <w:ilvl w:val="0"/>
          <w:numId w:val="38"/>
        </w:num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Ranks data </w:t>
      </w:r>
      <w:r w:rsidR="00841DFE">
        <w:rPr>
          <w:rFonts w:asciiTheme="minorHAnsi" w:hAnsiTheme="minorHAnsi" w:cs="Segoe UI Semilight"/>
          <w:color w:val="000000"/>
          <w:sz w:val="24"/>
          <w:szCs w:val="24"/>
        </w:rPr>
        <w:t>across key building and demographic</w:t>
      </w:r>
      <w:r>
        <w:rPr>
          <w:rFonts w:asciiTheme="minorHAnsi" w:hAnsiTheme="minorHAnsi" w:cs="Segoe UI Semilight"/>
          <w:color w:val="000000"/>
          <w:sz w:val="24"/>
          <w:szCs w:val="24"/>
        </w:rPr>
        <w:t xml:space="preserve"> indicator</w:t>
      </w:r>
      <w:r w:rsidR="00841DFE">
        <w:rPr>
          <w:rFonts w:asciiTheme="minorHAnsi" w:hAnsiTheme="minorHAnsi" w:cs="Segoe UI Semilight"/>
          <w:color w:val="000000"/>
          <w:sz w:val="24"/>
          <w:szCs w:val="24"/>
        </w:rPr>
        <w:t>s</w:t>
      </w:r>
      <w:r>
        <w:rPr>
          <w:rFonts w:asciiTheme="minorHAnsi" w:hAnsiTheme="minorHAnsi" w:cs="Segoe UI Semilight"/>
          <w:color w:val="000000"/>
          <w:sz w:val="24"/>
          <w:szCs w:val="24"/>
        </w:rPr>
        <w:t xml:space="preserve"> at the parcel level to reflect how the data impacts the</w:t>
      </w:r>
      <w:r w:rsidR="00002492">
        <w:rPr>
          <w:rFonts w:asciiTheme="minorHAnsi" w:hAnsiTheme="minorHAnsi" w:cs="Segoe UI Semilight"/>
          <w:color w:val="000000"/>
          <w:sz w:val="24"/>
          <w:szCs w:val="24"/>
        </w:rPr>
        <w:t xml:space="preserve"> </w:t>
      </w:r>
      <w:r>
        <w:rPr>
          <w:rFonts w:asciiTheme="minorHAnsi" w:hAnsiTheme="minorHAnsi" w:cs="Segoe UI Semilight"/>
          <w:color w:val="000000"/>
          <w:sz w:val="24"/>
          <w:szCs w:val="24"/>
        </w:rPr>
        <w:t>ease, cost</w:t>
      </w:r>
      <w:r w:rsidR="00002492">
        <w:rPr>
          <w:rFonts w:asciiTheme="minorHAnsi" w:hAnsiTheme="minorHAnsi" w:cs="Segoe UI Semilight"/>
          <w:color w:val="000000"/>
          <w:sz w:val="24"/>
          <w:szCs w:val="24"/>
        </w:rPr>
        <w:t>, or attractiveness</w:t>
      </w:r>
      <w:r>
        <w:rPr>
          <w:rFonts w:asciiTheme="minorHAnsi" w:hAnsiTheme="minorHAnsi" w:cs="Segoe UI Semilight"/>
          <w:color w:val="000000"/>
          <w:sz w:val="24"/>
          <w:szCs w:val="24"/>
        </w:rPr>
        <w:t xml:space="preserve"> of installing the technology; </w:t>
      </w:r>
    </w:p>
    <w:p w14:paraId="4848EEF7" w14:textId="77777777" w:rsidR="00F32756" w:rsidRDefault="00F32756" w:rsidP="00316294">
      <w:pPr>
        <w:pStyle w:val="ListParagraph"/>
        <w:numPr>
          <w:ilvl w:val="0"/>
          <w:numId w:val="38"/>
        </w:num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Weights these indicators</w:t>
      </w:r>
      <w:r w:rsidR="00904E58">
        <w:rPr>
          <w:rFonts w:asciiTheme="minorHAnsi" w:hAnsiTheme="minorHAnsi" w:cs="Segoe UI Semilight"/>
          <w:color w:val="000000"/>
          <w:sz w:val="24"/>
          <w:szCs w:val="24"/>
        </w:rPr>
        <w:t xml:space="preserve"> against each other based on relative importance to customer adoption</w:t>
      </w:r>
      <w:r w:rsidR="00002492">
        <w:rPr>
          <w:rFonts w:asciiTheme="minorHAnsi" w:hAnsiTheme="minorHAnsi" w:cs="Segoe UI Semilight"/>
          <w:color w:val="000000"/>
          <w:sz w:val="24"/>
          <w:szCs w:val="24"/>
        </w:rPr>
        <w:t>, informed by past surveys and campaign results</w:t>
      </w:r>
      <w:r w:rsidR="00904E58">
        <w:rPr>
          <w:rFonts w:asciiTheme="minorHAnsi" w:hAnsiTheme="minorHAnsi" w:cs="Segoe UI Semilight"/>
          <w:color w:val="000000"/>
          <w:sz w:val="24"/>
          <w:szCs w:val="24"/>
        </w:rPr>
        <w:t>; and</w:t>
      </w:r>
    </w:p>
    <w:p w14:paraId="31046336" w14:textId="77777777" w:rsidR="005D7E17" w:rsidRDefault="00002492" w:rsidP="00316294">
      <w:pPr>
        <w:pStyle w:val="ListParagraph"/>
        <w:numPr>
          <w:ilvl w:val="0"/>
          <w:numId w:val="38"/>
        </w:num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Calculates</w:t>
      </w:r>
      <w:r w:rsidR="00904E58">
        <w:rPr>
          <w:rFonts w:asciiTheme="minorHAnsi" w:hAnsiTheme="minorHAnsi" w:cs="Segoe UI Semilight"/>
          <w:color w:val="000000"/>
          <w:sz w:val="24"/>
          <w:szCs w:val="24"/>
        </w:rPr>
        <w:t xml:space="preserve"> an index</w:t>
      </w:r>
      <w:r>
        <w:rPr>
          <w:rFonts w:asciiTheme="minorHAnsi" w:hAnsiTheme="minorHAnsi" w:cs="Segoe UI Semilight"/>
          <w:color w:val="000000"/>
          <w:sz w:val="24"/>
          <w:szCs w:val="24"/>
        </w:rPr>
        <w:t xml:space="preserve"> value</w:t>
      </w:r>
      <w:r w:rsidR="00904E58">
        <w:rPr>
          <w:rFonts w:asciiTheme="minorHAnsi" w:hAnsiTheme="minorHAnsi" w:cs="Segoe UI Semilight"/>
          <w:color w:val="000000"/>
          <w:sz w:val="24"/>
          <w:szCs w:val="24"/>
        </w:rPr>
        <w:t xml:space="preserve"> for each parcel reflecting </w:t>
      </w:r>
      <w:r w:rsidR="00841DFE">
        <w:rPr>
          <w:rFonts w:asciiTheme="minorHAnsi" w:hAnsiTheme="minorHAnsi" w:cs="Segoe UI Semilight"/>
          <w:color w:val="000000"/>
          <w:sz w:val="24"/>
          <w:szCs w:val="24"/>
        </w:rPr>
        <w:t>the likelihood that its owner might adopt the technology</w:t>
      </w:r>
      <w:r w:rsidR="00EB1F34">
        <w:rPr>
          <w:rFonts w:asciiTheme="minorHAnsi" w:hAnsiTheme="minorHAnsi" w:cs="Segoe UI Semilight"/>
          <w:color w:val="000000"/>
          <w:sz w:val="24"/>
          <w:szCs w:val="24"/>
        </w:rPr>
        <w:t>.</w:t>
      </w:r>
    </w:p>
    <w:p w14:paraId="105EE6BC" w14:textId="77777777" w:rsidR="005A3151" w:rsidRPr="00316294" w:rsidRDefault="005A3151" w:rsidP="005A3151">
      <w:pPr>
        <w:autoSpaceDE w:val="0"/>
        <w:autoSpaceDN w:val="0"/>
        <w:adjustRightInd w:val="0"/>
        <w:rPr>
          <w:rFonts w:asciiTheme="minorHAnsi" w:hAnsiTheme="minorHAnsi" w:cs="Segoe UI Semilight"/>
          <w:color w:val="000000"/>
          <w:sz w:val="24"/>
          <w:szCs w:val="24"/>
        </w:rPr>
      </w:pPr>
    </w:p>
    <w:p w14:paraId="23C68527" w14:textId="77777777" w:rsidR="005D7E17" w:rsidRDefault="005D7E17"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While </w:t>
      </w:r>
      <w:r w:rsidR="00A111CA">
        <w:rPr>
          <w:rFonts w:asciiTheme="minorHAnsi" w:hAnsiTheme="minorHAnsi" w:cs="Segoe UI Semilight"/>
          <w:color w:val="000000"/>
          <w:sz w:val="24"/>
          <w:szCs w:val="24"/>
        </w:rPr>
        <w:t>focused</w:t>
      </w:r>
      <w:r>
        <w:rPr>
          <w:rFonts w:asciiTheme="minorHAnsi" w:hAnsiTheme="minorHAnsi" w:cs="Segoe UI Semilight"/>
          <w:color w:val="000000"/>
          <w:sz w:val="24"/>
          <w:szCs w:val="24"/>
        </w:rPr>
        <w:t xml:space="preserve"> on ductless </w:t>
      </w:r>
      <w:r w:rsidR="00002492">
        <w:rPr>
          <w:rFonts w:asciiTheme="minorHAnsi" w:hAnsiTheme="minorHAnsi" w:cs="Segoe UI Semilight"/>
          <w:color w:val="000000"/>
          <w:sz w:val="24"/>
          <w:szCs w:val="24"/>
        </w:rPr>
        <w:t xml:space="preserve">ASHPs, </w:t>
      </w:r>
      <w:r>
        <w:rPr>
          <w:rFonts w:asciiTheme="minorHAnsi" w:hAnsiTheme="minorHAnsi" w:cs="Segoe UI Semilight"/>
          <w:color w:val="000000"/>
          <w:sz w:val="24"/>
          <w:szCs w:val="24"/>
        </w:rPr>
        <w:t>ducted ASHPs</w:t>
      </w:r>
      <w:r w:rsidR="00002492">
        <w:rPr>
          <w:rFonts w:asciiTheme="minorHAnsi" w:hAnsiTheme="minorHAnsi" w:cs="Segoe UI Semilight"/>
          <w:color w:val="000000"/>
          <w:sz w:val="24"/>
          <w:szCs w:val="24"/>
        </w:rPr>
        <w:t xml:space="preserve">, </w:t>
      </w:r>
      <w:r>
        <w:rPr>
          <w:rFonts w:asciiTheme="minorHAnsi" w:hAnsiTheme="minorHAnsi" w:cs="Segoe UI Semilight"/>
          <w:color w:val="000000"/>
          <w:sz w:val="24"/>
          <w:szCs w:val="24"/>
        </w:rPr>
        <w:t xml:space="preserve">and HPWHs in NYC and Washington D.C., this </w:t>
      </w:r>
      <w:r w:rsidR="00A111CA">
        <w:rPr>
          <w:rFonts w:asciiTheme="minorHAnsi" w:hAnsiTheme="minorHAnsi" w:cs="Segoe UI Semilight"/>
          <w:color w:val="000000"/>
          <w:sz w:val="24"/>
          <w:szCs w:val="24"/>
        </w:rPr>
        <w:t xml:space="preserve">approach can also </w:t>
      </w:r>
      <w:r w:rsidR="00002492">
        <w:rPr>
          <w:rFonts w:asciiTheme="minorHAnsi" w:hAnsiTheme="minorHAnsi" w:cs="Segoe UI Semilight"/>
          <w:color w:val="000000"/>
          <w:sz w:val="24"/>
          <w:szCs w:val="24"/>
        </w:rPr>
        <w:t>be applied to</w:t>
      </w:r>
      <w:r w:rsidR="00A111CA">
        <w:rPr>
          <w:rFonts w:asciiTheme="minorHAnsi" w:hAnsiTheme="minorHAnsi" w:cs="Segoe UI Semilight"/>
          <w:color w:val="000000"/>
          <w:sz w:val="24"/>
          <w:szCs w:val="24"/>
        </w:rPr>
        <w:t xml:space="preserve"> </w:t>
      </w:r>
      <w:r w:rsidR="00EB1F34">
        <w:rPr>
          <w:rFonts w:asciiTheme="minorHAnsi" w:hAnsiTheme="minorHAnsi" w:cs="Segoe UI Semilight"/>
          <w:color w:val="000000"/>
          <w:sz w:val="24"/>
          <w:szCs w:val="24"/>
        </w:rPr>
        <w:t xml:space="preserve">other </w:t>
      </w:r>
      <w:r w:rsidR="00A111CA">
        <w:rPr>
          <w:rFonts w:asciiTheme="minorHAnsi" w:hAnsiTheme="minorHAnsi" w:cs="Segoe UI Semilight"/>
          <w:color w:val="000000"/>
          <w:sz w:val="24"/>
          <w:szCs w:val="24"/>
        </w:rPr>
        <w:t>RH&amp;C technologies (i.e. ground source heat pumps, solar hot water, and modern central wood heating). This approach has been deployed i</w:t>
      </w:r>
      <w:r>
        <w:rPr>
          <w:rFonts w:asciiTheme="minorHAnsi" w:hAnsiTheme="minorHAnsi" w:cs="Segoe UI Semilight"/>
          <w:color w:val="000000"/>
          <w:sz w:val="24"/>
          <w:szCs w:val="24"/>
        </w:rPr>
        <w:t xml:space="preserve">n Boston, Somerville, Northampton, Portland </w:t>
      </w:r>
      <w:r w:rsidR="00AA670D">
        <w:rPr>
          <w:rFonts w:asciiTheme="minorHAnsi" w:hAnsiTheme="minorHAnsi" w:cs="Segoe UI Semilight"/>
          <w:color w:val="000000"/>
          <w:sz w:val="24"/>
          <w:szCs w:val="24"/>
        </w:rPr>
        <w:t xml:space="preserve">and South Portland </w:t>
      </w:r>
      <w:r>
        <w:rPr>
          <w:rFonts w:asciiTheme="minorHAnsi" w:hAnsiTheme="minorHAnsi" w:cs="Segoe UI Semilight"/>
          <w:color w:val="000000"/>
          <w:sz w:val="24"/>
          <w:szCs w:val="24"/>
        </w:rPr>
        <w:t xml:space="preserve">(ME), and Providence and will be deployed in </w:t>
      </w:r>
      <w:r w:rsidR="00A111CA">
        <w:rPr>
          <w:rFonts w:asciiTheme="minorHAnsi" w:hAnsiTheme="minorHAnsi" w:cs="Segoe UI Semilight"/>
          <w:color w:val="000000"/>
          <w:sz w:val="24"/>
          <w:szCs w:val="24"/>
        </w:rPr>
        <w:t xml:space="preserve">seven other Massachusetts towns </w:t>
      </w:r>
      <w:r>
        <w:rPr>
          <w:rFonts w:asciiTheme="minorHAnsi" w:hAnsiTheme="minorHAnsi" w:cs="Segoe UI Semilight"/>
          <w:color w:val="000000"/>
          <w:sz w:val="24"/>
          <w:szCs w:val="24"/>
        </w:rPr>
        <w:t xml:space="preserve">to inform the </w:t>
      </w:r>
      <w:r w:rsidR="00A111CA">
        <w:rPr>
          <w:rFonts w:asciiTheme="minorHAnsi" w:hAnsiTheme="minorHAnsi" w:cs="Segoe UI Semilight"/>
          <w:color w:val="000000"/>
          <w:sz w:val="24"/>
          <w:szCs w:val="24"/>
        </w:rPr>
        <w:t xml:space="preserve">design and implementation </w:t>
      </w:r>
      <w:r>
        <w:rPr>
          <w:rFonts w:asciiTheme="minorHAnsi" w:hAnsiTheme="minorHAnsi" w:cs="Segoe UI Semilight"/>
          <w:color w:val="000000"/>
          <w:sz w:val="24"/>
          <w:szCs w:val="24"/>
        </w:rPr>
        <w:t xml:space="preserve">of customer outreach </w:t>
      </w:r>
      <w:r w:rsidR="00A111CA">
        <w:rPr>
          <w:rFonts w:asciiTheme="minorHAnsi" w:hAnsiTheme="minorHAnsi" w:cs="Segoe UI Semilight"/>
          <w:color w:val="000000"/>
          <w:sz w:val="24"/>
          <w:szCs w:val="24"/>
        </w:rPr>
        <w:t>and group purchasing campaigns.</w:t>
      </w:r>
      <w:r w:rsidR="005A3151">
        <w:rPr>
          <w:rFonts w:asciiTheme="minorHAnsi" w:hAnsiTheme="minorHAnsi" w:cs="Segoe UI Semilight"/>
          <w:color w:val="000000"/>
          <w:sz w:val="24"/>
          <w:szCs w:val="24"/>
        </w:rPr>
        <w:t xml:space="preserve"> Note that indices are not comparable across cities or across technologies.</w:t>
      </w:r>
    </w:p>
    <w:p w14:paraId="11EEEE41" w14:textId="77777777" w:rsidR="00DF5CD4" w:rsidRDefault="00DF5CD4" w:rsidP="00F07240">
      <w:pPr>
        <w:autoSpaceDE w:val="0"/>
        <w:autoSpaceDN w:val="0"/>
        <w:adjustRightInd w:val="0"/>
        <w:rPr>
          <w:rFonts w:asciiTheme="minorHAnsi" w:hAnsiTheme="minorHAnsi" w:cs="Segoe UI Semilight"/>
          <w:color w:val="000000"/>
          <w:sz w:val="24"/>
          <w:szCs w:val="24"/>
        </w:rPr>
      </w:pPr>
    </w:p>
    <w:p w14:paraId="1636F939" w14:textId="77777777" w:rsidR="005A3151" w:rsidRDefault="005A3151"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As with other market segmentation analysis approaches, this approach is more effective with high</w:t>
      </w:r>
      <w:r w:rsidR="00AA670D">
        <w:rPr>
          <w:rFonts w:asciiTheme="minorHAnsi" w:hAnsiTheme="minorHAnsi" w:cs="Segoe UI Semilight"/>
          <w:color w:val="000000"/>
          <w:sz w:val="24"/>
          <w:szCs w:val="24"/>
        </w:rPr>
        <w:t>-</w:t>
      </w:r>
      <w:r>
        <w:rPr>
          <w:rFonts w:asciiTheme="minorHAnsi" w:hAnsiTheme="minorHAnsi" w:cs="Segoe UI Semilight"/>
          <w:color w:val="000000"/>
          <w:sz w:val="24"/>
          <w:szCs w:val="24"/>
        </w:rPr>
        <w:t xml:space="preserve">quality, granular </w:t>
      </w:r>
      <w:r w:rsidR="00AA670D">
        <w:rPr>
          <w:rFonts w:asciiTheme="minorHAnsi" w:hAnsiTheme="minorHAnsi" w:cs="Segoe UI Semilight"/>
          <w:color w:val="000000"/>
          <w:sz w:val="24"/>
          <w:szCs w:val="24"/>
        </w:rPr>
        <w:t xml:space="preserve">(parcel level) </w:t>
      </w:r>
      <w:r>
        <w:rPr>
          <w:rFonts w:asciiTheme="minorHAnsi" w:hAnsiTheme="minorHAnsi" w:cs="Segoe UI Semilight"/>
          <w:color w:val="000000"/>
          <w:sz w:val="24"/>
          <w:szCs w:val="24"/>
        </w:rPr>
        <w:t>data, though the methodology can be adjusted based on available data. The results of this approach can also be mapped onto city parcels if GIS shapefiles are made available.</w:t>
      </w:r>
    </w:p>
    <w:p w14:paraId="5603CFBB" w14:textId="77777777" w:rsidR="005A3151" w:rsidRDefault="005A3151" w:rsidP="00F07240">
      <w:pPr>
        <w:autoSpaceDE w:val="0"/>
        <w:autoSpaceDN w:val="0"/>
        <w:adjustRightInd w:val="0"/>
        <w:rPr>
          <w:rFonts w:asciiTheme="minorHAnsi" w:hAnsiTheme="minorHAnsi" w:cs="Segoe UI Semilight"/>
          <w:color w:val="000000"/>
          <w:sz w:val="24"/>
          <w:szCs w:val="24"/>
        </w:rPr>
      </w:pPr>
    </w:p>
    <w:p w14:paraId="6B451278" w14:textId="77777777" w:rsidR="00841DFE" w:rsidRPr="00316294" w:rsidRDefault="00841DFE" w:rsidP="00F07240">
      <w:pPr>
        <w:autoSpaceDE w:val="0"/>
        <w:autoSpaceDN w:val="0"/>
        <w:adjustRightInd w:val="0"/>
        <w:rPr>
          <w:rFonts w:asciiTheme="minorHAnsi" w:hAnsiTheme="minorHAnsi" w:cs="Segoe UI Semilight"/>
          <w:b/>
          <w:color w:val="000000"/>
          <w:sz w:val="24"/>
          <w:szCs w:val="24"/>
        </w:rPr>
      </w:pPr>
      <w:r>
        <w:rPr>
          <w:rFonts w:asciiTheme="minorHAnsi" w:hAnsiTheme="minorHAnsi" w:cs="Segoe UI Semilight"/>
          <w:b/>
          <w:color w:val="000000"/>
          <w:sz w:val="24"/>
          <w:szCs w:val="24"/>
        </w:rPr>
        <w:t>Identifying and ranking building and demographic indicators</w:t>
      </w:r>
    </w:p>
    <w:p w14:paraId="53E2881E" w14:textId="77777777" w:rsidR="00841DFE" w:rsidRDefault="00841DFE"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Based on the available data, a number of key building and demographic indicators can be </w:t>
      </w:r>
      <w:r w:rsidR="00565E8B">
        <w:rPr>
          <w:rFonts w:asciiTheme="minorHAnsi" w:hAnsiTheme="minorHAnsi" w:cs="Segoe UI Semilight"/>
          <w:color w:val="000000"/>
          <w:sz w:val="24"/>
          <w:szCs w:val="24"/>
        </w:rPr>
        <w:t xml:space="preserve">aggregated for use in the index. While these indicators can be limited or augmented based on the data available in each city, the indicators typically used in the analysis, as well as their </w:t>
      </w:r>
      <w:r w:rsidR="00904AFB">
        <w:rPr>
          <w:rFonts w:asciiTheme="minorHAnsi" w:hAnsiTheme="minorHAnsi" w:cs="Segoe UI Semilight"/>
          <w:color w:val="000000"/>
          <w:sz w:val="24"/>
          <w:szCs w:val="24"/>
        </w:rPr>
        <w:t xml:space="preserve">typical sources </w:t>
      </w:r>
      <w:r w:rsidR="00565E8B">
        <w:rPr>
          <w:rFonts w:asciiTheme="minorHAnsi" w:hAnsiTheme="minorHAnsi" w:cs="Segoe UI Semilight"/>
          <w:color w:val="000000"/>
          <w:sz w:val="24"/>
          <w:szCs w:val="24"/>
        </w:rPr>
        <w:t>and relevance to the analysis, are summarized in the table below.</w:t>
      </w:r>
    </w:p>
    <w:p w14:paraId="348CD0EC" w14:textId="77777777" w:rsidR="00841DFE" w:rsidRDefault="00841DFE" w:rsidP="00F07240">
      <w:pPr>
        <w:autoSpaceDE w:val="0"/>
        <w:autoSpaceDN w:val="0"/>
        <w:adjustRightInd w:val="0"/>
        <w:rPr>
          <w:rFonts w:asciiTheme="minorHAnsi" w:hAnsiTheme="minorHAnsi" w:cs="Segoe UI Semilight"/>
          <w:color w:val="000000"/>
          <w:sz w:val="24"/>
          <w:szCs w:val="24"/>
        </w:rPr>
      </w:pPr>
    </w:p>
    <w:tbl>
      <w:tblPr>
        <w:tblStyle w:val="DefaultBlueBarTable"/>
        <w:tblW w:w="9572" w:type="dxa"/>
        <w:tblLook w:val="04A0" w:firstRow="1" w:lastRow="0" w:firstColumn="1" w:lastColumn="0" w:noHBand="0" w:noVBand="1"/>
      </w:tblPr>
      <w:tblGrid>
        <w:gridCol w:w="2155"/>
        <w:gridCol w:w="1890"/>
        <w:gridCol w:w="5527"/>
      </w:tblGrid>
      <w:tr w:rsidR="00904AFB" w:rsidRPr="005A3151" w14:paraId="6E9F6BB3" w14:textId="77777777" w:rsidTr="00316294">
        <w:trPr>
          <w:cnfStyle w:val="100000000000" w:firstRow="1" w:lastRow="0" w:firstColumn="0" w:lastColumn="0" w:oddVBand="0" w:evenVBand="0" w:oddHBand="0"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2155" w:type="dxa"/>
            <w:hideMark/>
          </w:tcPr>
          <w:p w14:paraId="1937C866" w14:textId="77777777" w:rsidR="00904AFB" w:rsidRPr="005A3151" w:rsidRDefault="00904AFB" w:rsidP="00DE61B2">
            <w:pPr>
              <w:rPr>
                <w:rFonts w:eastAsia="Times New Roman" w:cs="Times New Roman"/>
                <w:b/>
                <w:bCs/>
                <w:color w:val="FFFFFF"/>
                <w:szCs w:val="19"/>
              </w:rPr>
            </w:pPr>
            <w:r w:rsidRPr="005A3151">
              <w:rPr>
                <w:rFonts w:eastAsia="Times New Roman" w:cs="Times New Roman"/>
                <w:b/>
                <w:bCs/>
                <w:color w:val="FFFFFF"/>
                <w:szCs w:val="19"/>
              </w:rPr>
              <w:t>Indicator</w:t>
            </w:r>
          </w:p>
        </w:tc>
        <w:tc>
          <w:tcPr>
            <w:tcW w:w="1890" w:type="dxa"/>
          </w:tcPr>
          <w:p w14:paraId="0C0FC2A8" w14:textId="77777777" w:rsidR="00904AFB" w:rsidRPr="005A3151" w:rsidRDefault="00904AFB" w:rsidP="00DE61B2">
            <w:pPr>
              <w:cnfStyle w:val="100000000000" w:firstRow="1" w:lastRow="0" w:firstColumn="0" w:lastColumn="0" w:oddVBand="0" w:evenVBand="0" w:oddHBand="0" w:evenHBand="0" w:firstRowFirstColumn="0" w:firstRowLastColumn="0" w:lastRowFirstColumn="0" w:lastRowLastColumn="0"/>
              <w:rPr>
                <w:rFonts w:eastAsia="Times New Roman" w:cs="Times New Roman"/>
                <w:b/>
                <w:bCs/>
                <w:color w:val="FFFFFF"/>
                <w:szCs w:val="19"/>
              </w:rPr>
            </w:pPr>
            <w:r w:rsidRPr="005A3151">
              <w:rPr>
                <w:rFonts w:eastAsia="Times New Roman" w:cs="Times New Roman"/>
                <w:b/>
                <w:bCs/>
                <w:color w:val="FFFFFF"/>
                <w:szCs w:val="19"/>
              </w:rPr>
              <w:t>Source</w:t>
            </w:r>
          </w:p>
        </w:tc>
        <w:tc>
          <w:tcPr>
            <w:tcW w:w="5527" w:type="dxa"/>
          </w:tcPr>
          <w:p w14:paraId="53AB5317" w14:textId="77777777" w:rsidR="00904AFB" w:rsidRPr="005A3151" w:rsidRDefault="00904AFB" w:rsidP="00DE61B2">
            <w:pPr>
              <w:cnfStyle w:val="100000000000" w:firstRow="1" w:lastRow="0" w:firstColumn="0" w:lastColumn="0" w:oddVBand="0" w:evenVBand="0" w:oddHBand="0" w:evenHBand="0" w:firstRowFirstColumn="0" w:firstRowLastColumn="0" w:lastRowFirstColumn="0" w:lastRowLastColumn="0"/>
              <w:rPr>
                <w:rFonts w:eastAsia="Times New Roman" w:cs="Times New Roman"/>
                <w:b/>
                <w:bCs/>
                <w:color w:val="FFFFFF"/>
                <w:szCs w:val="19"/>
              </w:rPr>
            </w:pPr>
            <w:r w:rsidRPr="005A3151">
              <w:rPr>
                <w:rFonts w:eastAsia="Times New Roman" w:cs="Times New Roman"/>
                <w:b/>
                <w:bCs/>
                <w:color w:val="FFFFFF"/>
                <w:szCs w:val="19"/>
              </w:rPr>
              <w:t>Relevance to RH&amp;C Potential</w:t>
            </w:r>
          </w:p>
        </w:tc>
      </w:tr>
      <w:tr w:rsidR="00904AFB" w:rsidRPr="005A3151" w14:paraId="0CD60B46" w14:textId="77777777" w:rsidTr="00316294">
        <w:trPr>
          <w:trHeight w:val="852"/>
        </w:trPr>
        <w:tc>
          <w:tcPr>
            <w:cnfStyle w:val="001000000000" w:firstRow="0" w:lastRow="0" w:firstColumn="1" w:lastColumn="0" w:oddVBand="0" w:evenVBand="0" w:oddHBand="0" w:evenHBand="0" w:firstRowFirstColumn="0" w:firstRowLastColumn="0" w:lastRowFirstColumn="0" w:lastRowLastColumn="0"/>
            <w:tcW w:w="2155" w:type="dxa"/>
            <w:hideMark/>
          </w:tcPr>
          <w:p w14:paraId="74F3A3C4"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Heating Fuel Type</w:t>
            </w:r>
          </w:p>
        </w:tc>
        <w:tc>
          <w:tcPr>
            <w:tcW w:w="1890" w:type="dxa"/>
          </w:tcPr>
          <w:p w14:paraId="41DE8C37" w14:textId="77777777" w:rsidR="00904AFB" w:rsidRPr="005A3151" w:rsidRDefault="00904AFB"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 census (block)</w:t>
            </w:r>
          </w:p>
        </w:tc>
        <w:tc>
          <w:tcPr>
            <w:tcW w:w="5527" w:type="dxa"/>
          </w:tcPr>
          <w:p w14:paraId="11B5F71F" w14:textId="77777777" w:rsidR="00904AFB" w:rsidRPr="005A3151" w:rsidRDefault="00904AFB"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Existing fuel type is a primary driver for determining whether a RH&amp;C installation is cost-effective. </w:t>
            </w:r>
          </w:p>
        </w:tc>
      </w:tr>
      <w:tr w:rsidR="00904AFB" w:rsidRPr="005A3151" w14:paraId="5E2C664D" w14:textId="77777777" w:rsidTr="00316294">
        <w:trPr>
          <w:trHeight w:val="852"/>
        </w:trPr>
        <w:tc>
          <w:tcPr>
            <w:cnfStyle w:val="001000000000" w:firstRow="0" w:lastRow="0" w:firstColumn="1" w:lastColumn="0" w:oddVBand="0" w:evenVBand="0" w:oddHBand="0" w:evenHBand="0" w:firstRowFirstColumn="0" w:firstRowLastColumn="0" w:lastRowFirstColumn="0" w:lastRowLastColumn="0"/>
            <w:tcW w:w="2155" w:type="dxa"/>
          </w:tcPr>
          <w:p w14:paraId="0A7B39F3"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Heating Distribution System</w:t>
            </w:r>
          </w:p>
        </w:tc>
        <w:tc>
          <w:tcPr>
            <w:tcW w:w="1890" w:type="dxa"/>
          </w:tcPr>
          <w:p w14:paraId="346AD7A0" w14:textId="77777777" w:rsidR="00904AFB" w:rsidRPr="005A3151" w:rsidRDefault="00904AFB"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01DEDF62" w14:textId="77777777" w:rsidR="00904AFB" w:rsidRPr="005A3151" w:rsidRDefault="00904AFB" w:rsidP="00316294">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Some RH&amp;C technologies will be cheaper/more straightforward to install depending on the existing heating distribution system. </w:t>
            </w:r>
          </w:p>
        </w:tc>
      </w:tr>
      <w:tr w:rsidR="00904AFB" w:rsidRPr="005A3151" w14:paraId="5E793391" w14:textId="77777777" w:rsidTr="00316294">
        <w:trPr>
          <w:trHeight w:val="852"/>
        </w:trPr>
        <w:tc>
          <w:tcPr>
            <w:cnfStyle w:val="001000000000" w:firstRow="0" w:lastRow="0" w:firstColumn="1" w:lastColumn="0" w:oddVBand="0" w:evenVBand="0" w:oddHBand="0" w:evenHBand="0" w:firstRowFirstColumn="0" w:firstRowLastColumn="0" w:lastRowFirstColumn="0" w:lastRowLastColumn="0"/>
            <w:tcW w:w="2155" w:type="dxa"/>
          </w:tcPr>
          <w:p w14:paraId="685D7E8D"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 xml:space="preserve">Air conditioning </w:t>
            </w:r>
          </w:p>
        </w:tc>
        <w:tc>
          <w:tcPr>
            <w:tcW w:w="1890" w:type="dxa"/>
          </w:tcPr>
          <w:p w14:paraId="65CCCB40" w14:textId="77777777" w:rsidR="00904AFB" w:rsidRPr="005A3151" w:rsidRDefault="00904AFB"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7C9E42E5" w14:textId="77777777" w:rsidR="00904AFB" w:rsidRPr="005A3151" w:rsidRDefault="00904AFB"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One of the primary benefits of air and ground source heat pumps is the ability to provide cooling </w:t>
            </w:r>
            <w:r w:rsidR="00B87AB3">
              <w:rPr>
                <w:rFonts w:eastAsia="Times New Roman" w:cs="Times New Roman"/>
                <w:color w:val="363636"/>
                <w:szCs w:val="19"/>
              </w:rPr>
              <w:t>with</w:t>
            </w:r>
            <w:r w:rsidRPr="005A3151">
              <w:rPr>
                <w:rFonts w:eastAsia="Times New Roman" w:cs="Times New Roman"/>
                <w:color w:val="363636"/>
                <w:szCs w:val="19"/>
              </w:rPr>
              <w:t xml:space="preserve"> the same system. The availability of central AC could determine whether a homeowner might consider cooling to be an added benefit.</w:t>
            </w:r>
          </w:p>
        </w:tc>
      </w:tr>
      <w:tr w:rsidR="00904AFB" w:rsidRPr="005A3151" w14:paraId="6D514804" w14:textId="77777777" w:rsidTr="00316294">
        <w:trPr>
          <w:trHeight w:val="340"/>
        </w:trPr>
        <w:tc>
          <w:tcPr>
            <w:cnfStyle w:val="001000000000" w:firstRow="0" w:lastRow="0" w:firstColumn="1" w:lastColumn="0" w:oddVBand="0" w:evenVBand="0" w:oddHBand="0" w:evenHBand="0" w:firstRowFirstColumn="0" w:firstRowLastColumn="0" w:lastRowFirstColumn="0" w:lastRowLastColumn="0"/>
            <w:tcW w:w="2155" w:type="dxa"/>
            <w:hideMark/>
          </w:tcPr>
          <w:p w14:paraId="6ABC1C90"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Heating System Replacement Year</w:t>
            </w:r>
          </w:p>
        </w:tc>
        <w:tc>
          <w:tcPr>
            <w:tcW w:w="1890" w:type="dxa"/>
          </w:tcPr>
          <w:p w14:paraId="4DA0A6D0" w14:textId="77777777" w:rsidR="00904AFB" w:rsidRPr="005A3151" w:rsidRDefault="00904AFB"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Permit (parcel)</w:t>
            </w:r>
          </w:p>
        </w:tc>
        <w:tc>
          <w:tcPr>
            <w:tcW w:w="5527" w:type="dxa"/>
          </w:tcPr>
          <w:p w14:paraId="272C65FC" w14:textId="77777777" w:rsidR="00904AFB" w:rsidRPr="005A3151" w:rsidRDefault="00904AFB"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Homeowners may be less likely to install a RH&amp;C technology if they have recently replaced their heating (or AC) system </w:t>
            </w:r>
          </w:p>
        </w:tc>
      </w:tr>
      <w:tr w:rsidR="00904AFB" w:rsidRPr="005A3151" w14:paraId="16FE0A0D" w14:textId="77777777" w:rsidTr="00316294">
        <w:trPr>
          <w:trHeight w:val="924"/>
        </w:trPr>
        <w:tc>
          <w:tcPr>
            <w:cnfStyle w:val="001000000000" w:firstRow="0" w:lastRow="0" w:firstColumn="1" w:lastColumn="0" w:oddVBand="0" w:evenVBand="0" w:oddHBand="0" w:evenHBand="0" w:firstRowFirstColumn="0" w:firstRowLastColumn="0" w:lastRowFirstColumn="0" w:lastRowLastColumn="0"/>
            <w:tcW w:w="2155" w:type="dxa"/>
            <w:hideMark/>
          </w:tcPr>
          <w:p w14:paraId="6244A8A1" w14:textId="77777777" w:rsidR="00904AFB" w:rsidRPr="005A3151" w:rsidRDefault="00EF79A1" w:rsidP="0095760B">
            <w:pPr>
              <w:rPr>
                <w:rFonts w:eastAsia="Times New Roman" w:cs="Times New Roman"/>
                <w:bCs/>
                <w:color w:val="363636"/>
                <w:szCs w:val="19"/>
              </w:rPr>
            </w:pPr>
            <w:r w:rsidRPr="005A3151">
              <w:rPr>
                <w:rFonts w:eastAsia="Times New Roman" w:cs="Times New Roman"/>
                <w:bCs/>
                <w:color w:val="363636"/>
                <w:szCs w:val="19"/>
              </w:rPr>
              <w:lastRenderedPageBreak/>
              <w:t>Parcel/building size</w:t>
            </w:r>
          </w:p>
        </w:tc>
        <w:tc>
          <w:tcPr>
            <w:tcW w:w="1890" w:type="dxa"/>
          </w:tcPr>
          <w:p w14:paraId="7F0606F8" w14:textId="77777777" w:rsidR="00904AFB" w:rsidRPr="005A3151" w:rsidRDefault="00904AFB"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25465A2C" w14:textId="77777777" w:rsidR="00904AFB" w:rsidRPr="005A3151" w:rsidRDefault="00EF79A1"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The size of the building (e.g. square footage, number of floors, size of lot) can affect the cost of installing various RH&amp;C technologies </w:t>
            </w:r>
          </w:p>
        </w:tc>
      </w:tr>
      <w:tr w:rsidR="00904AFB" w:rsidRPr="005A3151" w14:paraId="69F80C06" w14:textId="77777777" w:rsidTr="00316294">
        <w:trPr>
          <w:trHeight w:val="322"/>
        </w:trPr>
        <w:tc>
          <w:tcPr>
            <w:cnfStyle w:val="001000000000" w:firstRow="0" w:lastRow="0" w:firstColumn="1" w:lastColumn="0" w:oddVBand="0" w:evenVBand="0" w:oddHBand="0" w:evenHBand="0" w:firstRowFirstColumn="0" w:firstRowLastColumn="0" w:lastRowFirstColumn="0" w:lastRowLastColumn="0"/>
            <w:tcW w:w="2155" w:type="dxa"/>
            <w:hideMark/>
          </w:tcPr>
          <w:p w14:paraId="2AD453D0"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Historic District/Landmarks</w:t>
            </w:r>
          </w:p>
        </w:tc>
        <w:tc>
          <w:tcPr>
            <w:tcW w:w="1890" w:type="dxa"/>
          </w:tcPr>
          <w:p w14:paraId="2EA02A28" w14:textId="77777777" w:rsidR="00904AFB" w:rsidRPr="005A3151" w:rsidRDefault="00076C56"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historical district/ landmarks commission</w:t>
            </w:r>
          </w:p>
        </w:tc>
        <w:tc>
          <w:tcPr>
            <w:tcW w:w="5527" w:type="dxa"/>
          </w:tcPr>
          <w:p w14:paraId="517E00F8" w14:textId="77777777" w:rsidR="00904AFB" w:rsidRPr="005A3151" w:rsidRDefault="00076C56"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Due to strict regulations related to modifying the exterior of buildings in historical districts, some RH&amp;C technologies may be more challenging to install.</w:t>
            </w:r>
          </w:p>
        </w:tc>
      </w:tr>
      <w:tr w:rsidR="00904AFB" w:rsidRPr="005A3151" w14:paraId="16A2698B" w14:textId="77777777" w:rsidTr="00316294">
        <w:trPr>
          <w:trHeight w:val="376"/>
        </w:trPr>
        <w:tc>
          <w:tcPr>
            <w:cnfStyle w:val="001000000000" w:firstRow="0" w:lastRow="0" w:firstColumn="1" w:lastColumn="0" w:oddVBand="0" w:evenVBand="0" w:oddHBand="0" w:evenHBand="0" w:firstRowFirstColumn="0" w:firstRowLastColumn="0" w:lastRowFirstColumn="0" w:lastRowLastColumn="0"/>
            <w:tcW w:w="2155" w:type="dxa"/>
            <w:hideMark/>
          </w:tcPr>
          <w:p w14:paraId="6BF22B87"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Building Type (SF/MF</w:t>
            </w:r>
            <w:r w:rsidR="00B87AB3">
              <w:rPr>
                <w:rFonts w:eastAsia="Times New Roman" w:cs="Times New Roman"/>
                <w:bCs/>
                <w:color w:val="363636"/>
                <w:szCs w:val="19"/>
              </w:rPr>
              <w:t>/Condo</w:t>
            </w:r>
            <w:r w:rsidRPr="005A3151">
              <w:rPr>
                <w:rFonts w:eastAsia="Times New Roman" w:cs="Times New Roman"/>
                <w:bCs/>
                <w:color w:val="363636"/>
                <w:szCs w:val="19"/>
              </w:rPr>
              <w:t>)</w:t>
            </w:r>
          </w:p>
        </w:tc>
        <w:tc>
          <w:tcPr>
            <w:tcW w:w="1890" w:type="dxa"/>
          </w:tcPr>
          <w:p w14:paraId="447CC2B8" w14:textId="77777777" w:rsidR="00904AFB" w:rsidRPr="005A3151" w:rsidRDefault="00076C56"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0146DD3F" w14:textId="77777777" w:rsidR="00904AFB" w:rsidRPr="005A3151" w:rsidRDefault="00076C56"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Installing a RH&amp;C technology in a small multi-family building, particularly one that requires modifications to common spaces/building exterior, can potentially be more challenging.</w:t>
            </w:r>
          </w:p>
        </w:tc>
      </w:tr>
      <w:tr w:rsidR="00904AFB" w:rsidRPr="005A3151" w14:paraId="543F0908" w14:textId="77777777" w:rsidTr="00316294">
        <w:trPr>
          <w:trHeight w:val="358"/>
        </w:trPr>
        <w:tc>
          <w:tcPr>
            <w:cnfStyle w:val="001000000000" w:firstRow="0" w:lastRow="0" w:firstColumn="1" w:lastColumn="0" w:oddVBand="0" w:evenVBand="0" w:oddHBand="0" w:evenHBand="0" w:firstRowFirstColumn="0" w:firstRowLastColumn="0" w:lastRowFirstColumn="0" w:lastRowLastColumn="0"/>
            <w:tcW w:w="2155" w:type="dxa"/>
          </w:tcPr>
          <w:p w14:paraId="6FB7C10D" w14:textId="77777777" w:rsidR="00904AFB" w:rsidRPr="005A3151" w:rsidRDefault="00904AFB" w:rsidP="0095760B">
            <w:pPr>
              <w:rPr>
                <w:rFonts w:eastAsia="Times New Roman" w:cs="Times New Roman"/>
                <w:bCs/>
                <w:color w:val="363636"/>
                <w:szCs w:val="19"/>
              </w:rPr>
            </w:pPr>
            <w:r w:rsidRPr="005A3151">
              <w:rPr>
                <w:rFonts w:eastAsia="Times New Roman" w:cs="Times New Roman"/>
                <w:bCs/>
                <w:color w:val="363636"/>
                <w:szCs w:val="19"/>
              </w:rPr>
              <w:t>Income</w:t>
            </w:r>
          </w:p>
        </w:tc>
        <w:tc>
          <w:tcPr>
            <w:tcW w:w="1890" w:type="dxa"/>
          </w:tcPr>
          <w:p w14:paraId="777606F8" w14:textId="77777777" w:rsidR="00904AFB" w:rsidRPr="005A3151" w:rsidRDefault="00076C56"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Census (block)</w:t>
            </w:r>
          </w:p>
        </w:tc>
        <w:tc>
          <w:tcPr>
            <w:tcW w:w="5527" w:type="dxa"/>
          </w:tcPr>
          <w:p w14:paraId="05F64844" w14:textId="77777777" w:rsidR="00904AFB" w:rsidRPr="005A3151" w:rsidRDefault="00076C56"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 xml:space="preserve">Higher income residents are more likely to be early adopters </w:t>
            </w:r>
            <w:r w:rsidR="00B87AB3">
              <w:rPr>
                <w:rFonts w:eastAsia="Times New Roman" w:cs="Times New Roman"/>
                <w:color w:val="363636"/>
                <w:szCs w:val="19"/>
              </w:rPr>
              <w:t>because they are</w:t>
            </w:r>
            <w:r w:rsidRPr="005A3151">
              <w:rPr>
                <w:rFonts w:eastAsia="Times New Roman" w:cs="Times New Roman"/>
                <w:color w:val="363636"/>
                <w:szCs w:val="19"/>
              </w:rPr>
              <w:t xml:space="preserve"> able to afford a RH&amp;C system that typically costs more than a fossil fuel-based alternative.</w:t>
            </w:r>
          </w:p>
        </w:tc>
      </w:tr>
      <w:tr w:rsidR="00904AFB" w:rsidRPr="005A3151" w14:paraId="1C106CE8" w14:textId="77777777" w:rsidTr="00316294">
        <w:trPr>
          <w:trHeight w:val="288"/>
        </w:trPr>
        <w:tc>
          <w:tcPr>
            <w:cnfStyle w:val="001000000000" w:firstRow="0" w:lastRow="0" w:firstColumn="1" w:lastColumn="0" w:oddVBand="0" w:evenVBand="0" w:oddHBand="0" w:evenHBand="0" w:firstRowFirstColumn="0" w:firstRowLastColumn="0" w:lastRowFirstColumn="0" w:lastRowLastColumn="0"/>
            <w:tcW w:w="2155" w:type="dxa"/>
            <w:hideMark/>
          </w:tcPr>
          <w:p w14:paraId="114A57D1" w14:textId="77777777" w:rsidR="00904AFB" w:rsidRPr="005A3151" w:rsidRDefault="00076C56" w:rsidP="0095760B">
            <w:pPr>
              <w:rPr>
                <w:rFonts w:eastAsia="Times New Roman" w:cs="Times New Roman"/>
                <w:bCs/>
                <w:color w:val="363636"/>
                <w:szCs w:val="19"/>
              </w:rPr>
            </w:pPr>
            <w:r w:rsidRPr="005A3151">
              <w:rPr>
                <w:rFonts w:eastAsia="Times New Roman" w:cs="Times New Roman"/>
                <w:bCs/>
                <w:color w:val="363636"/>
                <w:szCs w:val="19"/>
              </w:rPr>
              <w:t>Basement</w:t>
            </w:r>
          </w:p>
        </w:tc>
        <w:tc>
          <w:tcPr>
            <w:tcW w:w="1890" w:type="dxa"/>
          </w:tcPr>
          <w:p w14:paraId="6C17B395" w14:textId="77777777" w:rsidR="00904AFB" w:rsidRPr="005A3151" w:rsidRDefault="00076C56"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64513FFB" w14:textId="77777777" w:rsidR="00904AFB" w:rsidRPr="005A3151" w:rsidRDefault="00076C56" w:rsidP="0095760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Availability of basement space can affect the cost or performance of installing some RH&amp;C systems</w:t>
            </w:r>
            <w:r w:rsidR="00FF2DED">
              <w:rPr>
                <w:rFonts w:eastAsia="Times New Roman" w:cs="Times New Roman"/>
                <w:color w:val="363636"/>
                <w:szCs w:val="19"/>
              </w:rPr>
              <w:t>.</w:t>
            </w:r>
          </w:p>
        </w:tc>
      </w:tr>
      <w:tr w:rsidR="00904AFB" w:rsidRPr="005A3151" w14:paraId="77FA3894" w14:textId="77777777" w:rsidTr="00316294">
        <w:trPr>
          <w:trHeight w:val="789"/>
        </w:trPr>
        <w:tc>
          <w:tcPr>
            <w:cnfStyle w:val="001000000000" w:firstRow="0" w:lastRow="0" w:firstColumn="1" w:lastColumn="0" w:oddVBand="0" w:evenVBand="0" w:oddHBand="0" w:evenHBand="0" w:firstRowFirstColumn="0" w:firstRowLastColumn="0" w:lastRowFirstColumn="0" w:lastRowLastColumn="0"/>
            <w:tcW w:w="2155" w:type="dxa"/>
            <w:hideMark/>
          </w:tcPr>
          <w:p w14:paraId="3D2EC943" w14:textId="77777777" w:rsidR="00904AFB" w:rsidRPr="005A3151" w:rsidRDefault="00904AFB" w:rsidP="00DE61B2">
            <w:pPr>
              <w:rPr>
                <w:rFonts w:eastAsia="Times New Roman" w:cs="Times New Roman"/>
                <w:bCs/>
                <w:color w:val="363636"/>
                <w:szCs w:val="19"/>
              </w:rPr>
            </w:pPr>
            <w:r w:rsidRPr="005A3151">
              <w:rPr>
                <w:rFonts w:eastAsia="Times New Roman" w:cs="Times New Roman"/>
                <w:bCs/>
                <w:color w:val="363636"/>
                <w:szCs w:val="19"/>
              </w:rPr>
              <w:t>Owner Occupied (Y/N)</w:t>
            </w:r>
          </w:p>
        </w:tc>
        <w:tc>
          <w:tcPr>
            <w:tcW w:w="1890" w:type="dxa"/>
          </w:tcPr>
          <w:p w14:paraId="46EBE608" w14:textId="77777777" w:rsidR="00904AFB" w:rsidRPr="005A3151" w:rsidRDefault="00076C56" w:rsidP="00904AF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Assessor (parcel)</w:t>
            </w:r>
          </w:p>
        </w:tc>
        <w:tc>
          <w:tcPr>
            <w:tcW w:w="5527" w:type="dxa"/>
          </w:tcPr>
          <w:p w14:paraId="62E4A0D0" w14:textId="77777777" w:rsidR="00904AFB" w:rsidRPr="005A3151" w:rsidRDefault="00076C56" w:rsidP="00565E8B">
            <w:pPr>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363636"/>
                <w:szCs w:val="19"/>
              </w:rPr>
            </w:pPr>
            <w:r w:rsidRPr="005A3151">
              <w:rPr>
                <w:rFonts w:eastAsia="Times New Roman" w:cs="Times New Roman"/>
                <w:color w:val="363636"/>
                <w:szCs w:val="19"/>
              </w:rPr>
              <w:t>Building owners who occupy their buildings are more likely to make energy-related improvements they can benefit from</w:t>
            </w:r>
            <w:r w:rsidR="00FF2DED">
              <w:rPr>
                <w:rFonts w:eastAsia="Times New Roman" w:cs="Times New Roman"/>
                <w:color w:val="363636"/>
                <w:szCs w:val="19"/>
              </w:rPr>
              <w:t>.</w:t>
            </w:r>
          </w:p>
        </w:tc>
      </w:tr>
    </w:tbl>
    <w:p w14:paraId="555990FB" w14:textId="77777777" w:rsidR="00F32756" w:rsidRDefault="00076C56"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Additional demographic indicators from the Census or other sources (e.g. education level, age group) can be integrated into the index. </w:t>
      </w:r>
    </w:p>
    <w:p w14:paraId="681BD9E7" w14:textId="77777777" w:rsidR="005A3151" w:rsidRDefault="005A3151" w:rsidP="00F07240">
      <w:pPr>
        <w:autoSpaceDE w:val="0"/>
        <w:autoSpaceDN w:val="0"/>
        <w:adjustRightInd w:val="0"/>
        <w:rPr>
          <w:rFonts w:asciiTheme="minorHAnsi" w:hAnsiTheme="minorHAnsi" w:cs="Segoe UI Semilight"/>
          <w:color w:val="000000"/>
          <w:sz w:val="24"/>
          <w:szCs w:val="24"/>
        </w:rPr>
      </w:pPr>
    </w:p>
    <w:p w14:paraId="0F836244" w14:textId="77777777" w:rsidR="005A3151" w:rsidRDefault="005A3151"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Data within these indicators are then ranked in order to develop a score (typically from 1-3) for each indicator. For example, homes heating with electricity or propane might receive a score of 3, homes heating with oil might receive a score of 2, and homes heating with gas might receive a score of 1, representing the relative cost-effectiveness of RH&amp;C technologies against existing heating fuels. Rankings differ across technologies and typically adjusted from city to city based on data availability. </w:t>
      </w:r>
    </w:p>
    <w:p w14:paraId="3E5D7B08" w14:textId="77777777" w:rsidR="005A3151" w:rsidRDefault="005A3151" w:rsidP="00F07240">
      <w:pPr>
        <w:autoSpaceDE w:val="0"/>
        <w:autoSpaceDN w:val="0"/>
        <w:adjustRightInd w:val="0"/>
        <w:rPr>
          <w:rFonts w:asciiTheme="minorHAnsi" w:hAnsiTheme="minorHAnsi" w:cs="Segoe UI Semilight"/>
          <w:color w:val="000000"/>
          <w:sz w:val="24"/>
          <w:szCs w:val="24"/>
        </w:rPr>
      </w:pPr>
    </w:p>
    <w:p w14:paraId="2345C1D1" w14:textId="77777777" w:rsidR="005A3151" w:rsidRDefault="005A3151" w:rsidP="00F07240">
      <w:pPr>
        <w:autoSpaceDE w:val="0"/>
        <w:autoSpaceDN w:val="0"/>
        <w:adjustRightInd w:val="0"/>
        <w:rPr>
          <w:rFonts w:asciiTheme="minorHAnsi" w:hAnsiTheme="minorHAnsi" w:cs="Segoe UI Semilight"/>
          <w:b/>
          <w:color w:val="000000"/>
          <w:sz w:val="24"/>
          <w:szCs w:val="24"/>
        </w:rPr>
      </w:pPr>
      <w:r>
        <w:rPr>
          <w:rFonts w:asciiTheme="minorHAnsi" w:hAnsiTheme="minorHAnsi" w:cs="Segoe UI Semilight"/>
          <w:b/>
          <w:color w:val="000000"/>
          <w:sz w:val="24"/>
          <w:szCs w:val="24"/>
        </w:rPr>
        <w:t>Weighting indicators</w:t>
      </w:r>
    </w:p>
    <w:p w14:paraId="46293595" w14:textId="77777777" w:rsidR="005A3151" w:rsidRPr="005A3151" w:rsidRDefault="005A3151"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These ranked indicators are then weighted against each other based on relative importance to determining whether a homeowner will adopt the technology or how suitable their home is for the installation. Based on interviews with technology installers and market research, MCG developed a set of standard weights for each indicator, though similarly to rankings, indicators can be weighted differently depending on the local market context and goals of the city leader.</w:t>
      </w:r>
    </w:p>
    <w:p w14:paraId="35F979FC" w14:textId="77777777" w:rsidR="00076C56" w:rsidRDefault="00076C56" w:rsidP="00F07240">
      <w:pPr>
        <w:autoSpaceDE w:val="0"/>
        <w:autoSpaceDN w:val="0"/>
        <w:adjustRightInd w:val="0"/>
        <w:rPr>
          <w:rFonts w:asciiTheme="minorHAnsi" w:hAnsiTheme="minorHAnsi" w:cs="Segoe UI Semilight"/>
          <w:color w:val="000000"/>
          <w:sz w:val="24"/>
          <w:szCs w:val="24"/>
        </w:rPr>
      </w:pPr>
    </w:p>
    <w:p w14:paraId="3EC97EC1" w14:textId="77777777" w:rsidR="005A3151" w:rsidRDefault="005A3151" w:rsidP="00F07240">
      <w:pPr>
        <w:autoSpaceDE w:val="0"/>
        <w:autoSpaceDN w:val="0"/>
        <w:adjustRightInd w:val="0"/>
        <w:rPr>
          <w:rFonts w:asciiTheme="minorHAnsi" w:hAnsiTheme="minorHAnsi" w:cs="Segoe UI Semilight"/>
          <w:b/>
          <w:color w:val="000000"/>
          <w:sz w:val="24"/>
          <w:szCs w:val="24"/>
        </w:rPr>
      </w:pPr>
      <w:r>
        <w:rPr>
          <w:rFonts w:asciiTheme="minorHAnsi" w:hAnsiTheme="minorHAnsi" w:cs="Segoe UI Semilight"/>
          <w:b/>
          <w:color w:val="000000"/>
          <w:sz w:val="24"/>
          <w:szCs w:val="24"/>
        </w:rPr>
        <w:t>Developing the index and supporting maps</w:t>
      </w:r>
    </w:p>
    <w:p w14:paraId="53109385" w14:textId="77777777" w:rsidR="005A3151" w:rsidRDefault="00F1641C"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The rankings and weightings for indicators are combined to generate a s</w:t>
      </w:r>
      <w:r w:rsidR="005B589F">
        <w:rPr>
          <w:rFonts w:asciiTheme="minorHAnsi" w:hAnsiTheme="minorHAnsi" w:cs="Segoe UI Semilight"/>
          <w:color w:val="000000"/>
          <w:sz w:val="24"/>
          <w:szCs w:val="24"/>
        </w:rPr>
        <w:t xml:space="preserve">core for each parcel reflecting the likelihood that the owner might adopt the technology. </w:t>
      </w:r>
    </w:p>
    <w:p w14:paraId="3DF83440" w14:textId="77777777" w:rsidR="00F1641C" w:rsidRDefault="00F1641C" w:rsidP="00F07240">
      <w:pPr>
        <w:autoSpaceDE w:val="0"/>
        <w:autoSpaceDN w:val="0"/>
        <w:adjustRightInd w:val="0"/>
        <w:rPr>
          <w:rFonts w:asciiTheme="minorHAnsi" w:hAnsiTheme="minorHAnsi" w:cs="Segoe UI Semilight"/>
          <w:color w:val="000000"/>
          <w:sz w:val="24"/>
          <w:szCs w:val="24"/>
        </w:rPr>
      </w:pPr>
    </w:p>
    <w:p w14:paraId="75F95A68" w14:textId="77777777" w:rsidR="00F1641C" w:rsidRDefault="00F1641C" w:rsidP="00F07240">
      <w:pPr>
        <w:autoSpaceDE w:val="0"/>
        <w:autoSpaceDN w:val="0"/>
        <w:adjustRightInd w:val="0"/>
        <w:rPr>
          <w:rFonts w:asciiTheme="minorHAnsi" w:hAnsiTheme="minorHAnsi" w:cs="Segoe UI Semilight"/>
          <w:color w:val="000000"/>
          <w:sz w:val="24"/>
          <w:szCs w:val="24"/>
        </w:rPr>
      </w:pPr>
      <w:r>
        <w:rPr>
          <w:rFonts w:asciiTheme="minorHAnsi" w:hAnsiTheme="minorHAnsi" w:cs="Segoe UI Semilight"/>
          <w:color w:val="000000"/>
          <w:sz w:val="24"/>
          <w:szCs w:val="24"/>
        </w:rPr>
        <w:t xml:space="preserve">The way indicators are ranked and weighted could be changed depending on the city’s goals; while the default approach focuses on identifying likely adopters, </w:t>
      </w:r>
      <w:r w:rsidR="005B589F">
        <w:rPr>
          <w:rFonts w:asciiTheme="minorHAnsi" w:hAnsiTheme="minorHAnsi" w:cs="Segoe UI Semilight"/>
          <w:color w:val="000000"/>
          <w:sz w:val="24"/>
          <w:szCs w:val="24"/>
        </w:rPr>
        <w:t>the approach can also be modified to focus on identifying populations that would likely need more direct support from the city to drive adoption</w:t>
      </w:r>
      <w:r>
        <w:rPr>
          <w:rFonts w:asciiTheme="minorHAnsi" w:hAnsiTheme="minorHAnsi" w:cs="Segoe UI Semilight"/>
          <w:color w:val="000000"/>
          <w:sz w:val="24"/>
          <w:szCs w:val="24"/>
        </w:rPr>
        <w:t xml:space="preserve"> </w:t>
      </w:r>
      <w:r w:rsidR="005B589F">
        <w:rPr>
          <w:rFonts w:asciiTheme="minorHAnsi" w:hAnsiTheme="minorHAnsi" w:cs="Segoe UI Semilight"/>
          <w:color w:val="000000"/>
          <w:sz w:val="24"/>
          <w:szCs w:val="24"/>
        </w:rPr>
        <w:t>(e.g. an “equity-based approach” focused on lower income residents).</w:t>
      </w:r>
    </w:p>
    <w:p w14:paraId="7A0E3BD8" w14:textId="77777777" w:rsidR="005B589F" w:rsidRDefault="005B589F" w:rsidP="00F07240">
      <w:pPr>
        <w:autoSpaceDE w:val="0"/>
        <w:autoSpaceDN w:val="0"/>
        <w:adjustRightInd w:val="0"/>
        <w:rPr>
          <w:rFonts w:asciiTheme="minorHAnsi" w:hAnsiTheme="minorHAnsi" w:cs="Segoe UI Semilight"/>
          <w:color w:val="000000"/>
          <w:sz w:val="24"/>
          <w:szCs w:val="24"/>
        </w:rPr>
      </w:pPr>
    </w:p>
    <w:p w14:paraId="0F1AB53F" w14:textId="77777777" w:rsidR="00C51D3D" w:rsidRDefault="005B589F" w:rsidP="00C51D3D">
      <w:pPr>
        <w:autoSpaceDE w:val="0"/>
        <w:autoSpaceDN w:val="0"/>
        <w:adjustRightInd w:val="0"/>
      </w:pPr>
      <w:r>
        <w:rPr>
          <w:rFonts w:asciiTheme="minorHAnsi" w:hAnsiTheme="minorHAnsi" w:cs="Segoe UI Semilight"/>
          <w:color w:val="000000"/>
          <w:sz w:val="24"/>
          <w:szCs w:val="24"/>
        </w:rPr>
        <w:t xml:space="preserve">Once results are generated, they can be mapped to a city’s GIS shapefiles to provide a spatially-oriented tool for city leaders. </w:t>
      </w:r>
      <w:r w:rsidR="000B11E8">
        <w:rPr>
          <w:rFonts w:asciiTheme="minorHAnsi" w:hAnsiTheme="minorHAnsi" w:cs="Segoe UI Semilight"/>
          <w:color w:val="000000"/>
          <w:sz w:val="24"/>
          <w:szCs w:val="24"/>
        </w:rPr>
        <w:t>Example of Staten Island:</w:t>
      </w:r>
    </w:p>
    <w:p w14:paraId="0EA7FB65" w14:textId="77777777" w:rsidR="005B589F" w:rsidRDefault="005B589F" w:rsidP="00316294">
      <w:pPr>
        <w:pStyle w:val="Caption"/>
      </w:pPr>
    </w:p>
    <w:p w14:paraId="5D640C6F" w14:textId="77777777" w:rsidR="005B589F" w:rsidRPr="00316294" w:rsidRDefault="000B11E8" w:rsidP="00316294">
      <w:pPr>
        <w:pStyle w:val="BodyText"/>
      </w:pPr>
      <w:r>
        <w:rPr>
          <w:noProof/>
          <w:lang w:eastAsia="en-US"/>
        </w:rPr>
        <w:lastRenderedPageBreak/>
        <w:drawing>
          <wp:inline distT="0" distB="0" distL="0" distR="0" wp14:anchorId="66A77A94" wp14:editId="4216624C">
            <wp:extent cx="4552950" cy="4301008"/>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57291" cy="4305109"/>
                    </a:xfrm>
                    <a:prstGeom prst="rect">
                      <a:avLst/>
                    </a:prstGeom>
                  </pic:spPr>
                </pic:pic>
              </a:graphicData>
            </a:graphic>
          </wp:inline>
        </w:drawing>
      </w:r>
    </w:p>
    <w:p w14:paraId="623DE7BF" w14:textId="77777777" w:rsidR="005A3151" w:rsidRDefault="005A3151" w:rsidP="00F07240">
      <w:pPr>
        <w:autoSpaceDE w:val="0"/>
        <w:autoSpaceDN w:val="0"/>
        <w:adjustRightInd w:val="0"/>
        <w:rPr>
          <w:rFonts w:asciiTheme="minorHAnsi" w:hAnsiTheme="minorHAnsi" w:cs="Segoe UI Semilight"/>
          <w:b/>
          <w:color w:val="000000"/>
          <w:sz w:val="24"/>
          <w:szCs w:val="24"/>
        </w:rPr>
      </w:pPr>
    </w:p>
    <w:p w14:paraId="7BF07A07" w14:textId="77777777" w:rsidR="00F07240" w:rsidRPr="00841DFE" w:rsidRDefault="00F07240" w:rsidP="00F07240">
      <w:pPr>
        <w:rPr>
          <w:rFonts w:asciiTheme="minorHAnsi" w:hAnsiTheme="minorHAnsi" w:cs="Segoe UI Semilight"/>
          <w:color w:val="000000"/>
          <w:sz w:val="24"/>
          <w:szCs w:val="24"/>
        </w:rPr>
      </w:pPr>
    </w:p>
    <w:p w14:paraId="5386511C" w14:textId="77777777" w:rsidR="00F07240" w:rsidRPr="00316294" w:rsidRDefault="00F07240" w:rsidP="00522B20">
      <w:pPr>
        <w:pStyle w:val="Default"/>
        <w:rPr>
          <w:rFonts w:asciiTheme="minorHAnsi" w:hAnsiTheme="minorHAnsi" w:cs="Verdana"/>
          <w:color w:val="auto"/>
        </w:rPr>
      </w:pPr>
    </w:p>
    <w:p w14:paraId="62E26EAB" w14:textId="77777777" w:rsidR="00A36E32" w:rsidRPr="00582FB1" w:rsidRDefault="00F07240" w:rsidP="000B11E8">
      <w:pPr>
        <w:pStyle w:val="Default"/>
        <w:keepNext/>
        <w:numPr>
          <w:ilvl w:val="0"/>
          <w:numId w:val="28"/>
        </w:numPr>
        <w:rPr>
          <w:rFonts w:asciiTheme="minorHAnsi" w:hAnsiTheme="minorHAnsi"/>
          <w:b/>
        </w:rPr>
      </w:pPr>
      <w:r w:rsidRPr="00316294">
        <w:rPr>
          <w:rFonts w:ascii="Verdana" w:hAnsi="Verdana" w:cs="Verdana"/>
          <w:b/>
          <w:color w:val="009FDA"/>
          <w:sz w:val="26"/>
          <w:szCs w:val="18"/>
        </w:rPr>
        <w:t xml:space="preserve">DNV GL’s </w:t>
      </w:r>
      <w:r w:rsidR="00720624">
        <w:rPr>
          <w:rFonts w:ascii="Verdana" w:hAnsi="Verdana" w:cs="Verdana"/>
          <w:b/>
          <w:color w:val="009FDA"/>
          <w:sz w:val="26"/>
          <w:szCs w:val="18"/>
        </w:rPr>
        <w:t xml:space="preserve">Renewable Heating and Cooling </w:t>
      </w:r>
      <w:r w:rsidRPr="00316294">
        <w:rPr>
          <w:rFonts w:ascii="Verdana" w:hAnsi="Verdana" w:cs="Verdana"/>
          <w:b/>
          <w:color w:val="009FDA"/>
          <w:sz w:val="26"/>
          <w:szCs w:val="18"/>
        </w:rPr>
        <w:t xml:space="preserve">Analysis </w:t>
      </w:r>
    </w:p>
    <w:p w14:paraId="23BC8B9C" w14:textId="77777777" w:rsidR="00A36E32" w:rsidRPr="00316294" w:rsidRDefault="00A36E32" w:rsidP="000B11E8">
      <w:pPr>
        <w:pStyle w:val="Default"/>
        <w:keepNext/>
        <w:rPr>
          <w:rFonts w:asciiTheme="minorHAnsi" w:hAnsiTheme="minorHAnsi" w:cs="Verdana"/>
          <w:color w:val="auto"/>
        </w:rPr>
      </w:pPr>
    </w:p>
    <w:p w14:paraId="1344B252" w14:textId="77777777" w:rsidR="00A36E32" w:rsidRPr="00316294" w:rsidRDefault="00A36E32" w:rsidP="000B11E8">
      <w:pPr>
        <w:pStyle w:val="Default"/>
        <w:keepNext/>
        <w:numPr>
          <w:ilvl w:val="0"/>
          <w:numId w:val="30"/>
        </w:numPr>
        <w:rPr>
          <w:rFonts w:asciiTheme="minorHAnsi" w:hAnsiTheme="minorHAnsi" w:cs="Verdana"/>
          <w:color w:val="auto"/>
        </w:rPr>
      </w:pPr>
      <w:r w:rsidRPr="00316294">
        <w:rPr>
          <w:rFonts w:asciiTheme="minorHAnsi" w:hAnsiTheme="minorHAnsi" w:cs="Verdana"/>
          <w:b/>
          <w:color w:val="auto"/>
        </w:rPr>
        <w:t>Look at bigger picture</w:t>
      </w:r>
      <w:r w:rsidRPr="00316294">
        <w:rPr>
          <w:rFonts w:asciiTheme="minorHAnsi" w:hAnsiTheme="minorHAnsi" w:cs="Verdana"/>
          <w:color w:val="auto"/>
        </w:rPr>
        <w:t xml:space="preserve"> (#</w:t>
      </w:r>
      <w:r w:rsidR="009A3CCD">
        <w:rPr>
          <w:rFonts w:asciiTheme="minorHAnsi" w:hAnsiTheme="minorHAnsi" w:cs="Verdana"/>
          <w:color w:val="auto"/>
        </w:rPr>
        <w:t xml:space="preserve"> </w:t>
      </w:r>
      <w:r w:rsidRPr="00316294">
        <w:rPr>
          <w:rFonts w:asciiTheme="minorHAnsi" w:hAnsiTheme="minorHAnsi" w:cs="Verdana"/>
          <w:color w:val="auto"/>
        </w:rPr>
        <w:t>of residential housing units and publicly available data on heating fuels), consider natural lifecycle of technolog</w:t>
      </w:r>
      <w:r w:rsidR="006F52B3" w:rsidRPr="00316294">
        <w:rPr>
          <w:rFonts w:asciiTheme="minorHAnsi" w:hAnsiTheme="minorHAnsi" w:cs="Verdana"/>
          <w:color w:val="auto"/>
        </w:rPr>
        <w:t>ies</w:t>
      </w:r>
    </w:p>
    <w:p w14:paraId="4D79B4AD" w14:textId="77777777" w:rsidR="006F52B3" w:rsidRPr="00316294" w:rsidRDefault="006F52B3" w:rsidP="006F52B3">
      <w:pPr>
        <w:pStyle w:val="Default"/>
        <w:ind w:left="720"/>
        <w:rPr>
          <w:rFonts w:asciiTheme="minorHAnsi" w:hAnsiTheme="minorHAnsi" w:cs="Verdana"/>
          <w:color w:val="auto"/>
        </w:rPr>
      </w:pPr>
      <w:r w:rsidRPr="00582FB1">
        <w:rPr>
          <w:noProof/>
          <w:lang w:eastAsia="en-US"/>
        </w:rPr>
        <w:drawing>
          <wp:inline distT="0" distB="0" distL="0" distR="0" wp14:anchorId="6FC5D1FA" wp14:editId="131551E5">
            <wp:extent cx="4705350" cy="235267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05350" cy="2352675"/>
                    </a:xfrm>
                    <a:prstGeom prst="rect">
                      <a:avLst/>
                    </a:prstGeom>
                  </pic:spPr>
                </pic:pic>
              </a:graphicData>
            </a:graphic>
          </wp:inline>
        </w:drawing>
      </w:r>
    </w:p>
    <w:p w14:paraId="5115363A" w14:textId="77777777" w:rsidR="00A36E32" w:rsidRPr="00316294" w:rsidRDefault="00A36E32" w:rsidP="006578E3">
      <w:pPr>
        <w:pStyle w:val="Default"/>
        <w:numPr>
          <w:ilvl w:val="0"/>
          <w:numId w:val="30"/>
        </w:numPr>
        <w:rPr>
          <w:rFonts w:asciiTheme="minorHAnsi" w:hAnsiTheme="minorHAnsi" w:cs="Verdana"/>
          <w:color w:val="auto"/>
        </w:rPr>
      </w:pPr>
      <w:r w:rsidRPr="00316294">
        <w:rPr>
          <w:rFonts w:asciiTheme="minorHAnsi" w:hAnsiTheme="minorHAnsi" w:cs="Verdana"/>
          <w:color w:val="auto"/>
        </w:rPr>
        <w:t xml:space="preserve">Radiant </w:t>
      </w:r>
      <w:r w:rsidR="009A3CCD">
        <w:rPr>
          <w:rFonts w:asciiTheme="minorHAnsi" w:hAnsiTheme="minorHAnsi" w:cs="Verdana"/>
          <w:color w:val="auto"/>
        </w:rPr>
        <w:t>Labs c</w:t>
      </w:r>
      <w:r w:rsidRPr="00316294">
        <w:rPr>
          <w:rFonts w:asciiTheme="minorHAnsi" w:hAnsiTheme="minorHAnsi" w:cs="Verdana"/>
          <w:color w:val="auto"/>
        </w:rPr>
        <w:t xml:space="preserve">onducts </w:t>
      </w:r>
      <w:r w:rsidRPr="00316294">
        <w:rPr>
          <w:rFonts w:asciiTheme="minorHAnsi" w:hAnsiTheme="minorHAnsi" w:cs="Verdana"/>
          <w:b/>
          <w:color w:val="auto"/>
        </w:rPr>
        <w:t>Permit Data Analysis</w:t>
      </w:r>
      <w:r w:rsidRPr="00316294">
        <w:rPr>
          <w:rFonts w:asciiTheme="minorHAnsi" w:hAnsiTheme="minorHAnsi" w:cs="Verdana"/>
          <w:color w:val="auto"/>
        </w:rPr>
        <w:t xml:space="preserve"> (determined 202 air source heat pumps permitted since 2000)</w:t>
      </w:r>
    </w:p>
    <w:p w14:paraId="35CE1FB2" w14:textId="77777777" w:rsidR="00A36E32" w:rsidRPr="00316294" w:rsidRDefault="00A36E32" w:rsidP="006578E3">
      <w:pPr>
        <w:pStyle w:val="Default"/>
        <w:numPr>
          <w:ilvl w:val="0"/>
          <w:numId w:val="30"/>
        </w:numPr>
        <w:rPr>
          <w:rFonts w:asciiTheme="minorHAnsi" w:hAnsiTheme="minorHAnsi" w:cs="Verdana"/>
          <w:color w:val="auto"/>
        </w:rPr>
      </w:pPr>
      <w:r w:rsidRPr="00316294">
        <w:rPr>
          <w:rFonts w:asciiTheme="minorHAnsi" w:hAnsiTheme="minorHAnsi" w:cs="Verdana"/>
          <w:b/>
          <w:color w:val="auto"/>
        </w:rPr>
        <w:lastRenderedPageBreak/>
        <w:t>Consider variability of permit data.</w:t>
      </w:r>
      <w:r w:rsidRPr="00316294">
        <w:rPr>
          <w:rFonts w:asciiTheme="minorHAnsi" w:hAnsiTheme="minorHAnsi" w:cs="Verdana"/>
          <w:color w:val="auto"/>
        </w:rPr>
        <w:t xml:space="preserve">  </w:t>
      </w:r>
      <w:r w:rsidR="00F77F60">
        <w:rPr>
          <w:rFonts w:asciiTheme="minorHAnsi" w:hAnsiTheme="minorHAnsi" w:cs="Verdana"/>
          <w:color w:val="auto"/>
        </w:rPr>
        <w:t xml:space="preserve">A 2017 </w:t>
      </w:r>
      <w:r w:rsidRPr="00316294">
        <w:rPr>
          <w:rFonts w:asciiTheme="minorHAnsi" w:hAnsiTheme="minorHAnsi" w:cs="Verdana"/>
          <w:color w:val="auto"/>
        </w:rPr>
        <w:t>DNV GL study for CPUC, shows HVAC permit rate is between 8-29%</w:t>
      </w:r>
      <w:r w:rsidRPr="00316294">
        <w:rPr>
          <w:rStyle w:val="FootnoteReference"/>
          <w:rFonts w:asciiTheme="minorHAnsi" w:hAnsiTheme="minorHAnsi" w:cs="Verdana"/>
          <w:color w:val="auto"/>
        </w:rPr>
        <w:footnoteReference w:id="5"/>
      </w:r>
      <w:r w:rsidRPr="00316294">
        <w:rPr>
          <w:rFonts w:asciiTheme="minorHAnsi" w:hAnsiTheme="minorHAnsi" w:cs="Verdana"/>
          <w:color w:val="auto"/>
        </w:rPr>
        <w:t xml:space="preserve"> while water heaters are even less frequently permitted due to high DIY installation rates. </w:t>
      </w:r>
    </w:p>
    <w:p w14:paraId="3FA2B439" w14:textId="77777777" w:rsidR="00522B20" w:rsidRPr="00316294" w:rsidRDefault="00522B20" w:rsidP="006578E3">
      <w:pPr>
        <w:pStyle w:val="Default"/>
        <w:numPr>
          <w:ilvl w:val="0"/>
          <w:numId w:val="30"/>
        </w:numPr>
        <w:rPr>
          <w:rFonts w:asciiTheme="minorHAnsi" w:hAnsiTheme="minorHAnsi" w:cs="Verdana"/>
          <w:color w:val="auto"/>
        </w:rPr>
      </w:pPr>
      <w:r w:rsidRPr="00316294">
        <w:rPr>
          <w:rFonts w:asciiTheme="minorHAnsi" w:hAnsiTheme="minorHAnsi" w:cs="Verdana"/>
          <w:b/>
          <w:color w:val="auto"/>
        </w:rPr>
        <w:t>Establish a baseline</w:t>
      </w:r>
      <w:r w:rsidRPr="00316294">
        <w:rPr>
          <w:rFonts w:asciiTheme="minorHAnsi" w:hAnsiTheme="minorHAnsi" w:cs="Verdana"/>
          <w:color w:val="auto"/>
        </w:rPr>
        <w:t xml:space="preserve"> of </w:t>
      </w:r>
      <w:r w:rsidR="00A36E32" w:rsidRPr="00316294">
        <w:rPr>
          <w:rFonts w:asciiTheme="minorHAnsi" w:hAnsiTheme="minorHAnsi" w:cs="Verdana"/>
          <w:color w:val="auto"/>
        </w:rPr>
        <w:t xml:space="preserve">air source heat pump </w:t>
      </w:r>
      <w:r w:rsidRPr="00316294">
        <w:rPr>
          <w:rFonts w:asciiTheme="minorHAnsi" w:hAnsiTheme="minorHAnsi" w:cs="Verdana"/>
          <w:color w:val="auto"/>
        </w:rPr>
        <w:t>systems installed to date</w:t>
      </w:r>
      <w:r w:rsidR="00A36E32" w:rsidRPr="00316294">
        <w:rPr>
          <w:rFonts w:asciiTheme="minorHAnsi" w:hAnsiTheme="minorHAnsi" w:cs="Verdana"/>
          <w:color w:val="auto"/>
        </w:rPr>
        <w:t xml:space="preserve"> including a </w:t>
      </w:r>
      <w:r w:rsidRPr="00316294">
        <w:rPr>
          <w:rFonts w:asciiTheme="minorHAnsi" w:hAnsiTheme="minorHAnsi" w:cs="Verdana"/>
          <w:color w:val="auto"/>
        </w:rPr>
        <w:t>margin of error</w:t>
      </w:r>
      <w:r w:rsidR="00A36E32" w:rsidRPr="00316294">
        <w:rPr>
          <w:rFonts w:asciiTheme="minorHAnsi" w:hAnsiTheme="minorHAnsi" w:cs="Verdana"/>
          <w:color w:val="auto"/>
        </w:rPr>
        <w:t xml:space="preserve"> for space and water heating.  </w:t>
      </w:r>
    </w:p>
    <w:p w14:paraId="5FE8D043" w14:textId="77777777" w:rsidR="00A36E32" w:rsidRPr="00316294" w:rsidRDefault="00A36E32" w:rsidP="00A36E32">
      <w:pPr>
        <w:pStyle w:val="Default"/>
        <w:ind w:left="720"/>
        <w:rPr>
          <w:rFonts w:asciiTheme="minorHAnsi" w:hAnsiTheme="minorHAnsi" w:cs="Verdana"/>
          <w:color w:val="auto"/>
        </w:rPr>
      </w:pPr>
    </w:p>
    <w:p w14:paraId="018A8737" w14:textId="77777777" w:rsidR="00522B20" w:rsidRPr="00316294" w:rsidRDefault="00A36E32" w:rsidP="00A36E32">
      <w:pPr>
        <w:pStyle w:val="Default"/>
        <w:rPr>
          <w:rFonts w:asciiTheme="minorHAnsi" w:hAnsiTheme="minorHAnsi" w:cs="Verdana"/>
          <w:color w:val="auto"/>
        </w:rPr>
      </w:pPr>
      <w:r w:rsidRPr="00316294">
        <w:rPr>
          <w:rFonts w:asciiTheme="minorHAnsi" w:hAnsiTheme="minorHAnsi" w:cs="Verdana"/>
          <w:color w:val="auto"/>
        </w:rPr>
        <w:t xml:space="preserve"> </w:t>
      </w:r>
      <w:r w:rsidRPr="00316294">
        <w:rPr>
          <w:rFonts w:asciiTheme="minorHAnsi" w:hAnsiTheme="minorHAnsi" w:cs="Verdana"/>
          <w:b/>
          <w:color w:val="auto"/>
        </w:rPr>
        <w:t xml:space="preserve">Baseline </w:t>
      </w:r>
      <w:r w:rsidR="00522B20" w:rsidRPr="00582FB1">
        <w:rPr>
          <w:rFonts w:asciiTheme="minorHAnsi" w:hAnsiTheme="minorHAnsi"/>
          <w:b/>
        </w:rPr>
        <w:t xml:space="preserve">Example: </w:t>
      </w:r>
      <w:r w:rsidR="00522B20" w:rsidRPr="00257744">
        <w:rPr>
          <w:rFonts w:asciiTheme="minorHAnsi" w:hAnsiTheme="minorHAnsi"/>
        </w:rPr>
        <w:t>Boulder Heat pump space heating 2017 baseline (number of homes with heat pumps)</w:t>
      </w:r>
    </w:p>
    <w:p w14:paraId="3A71F989" w14:textId="77777777" w:rsidR="00522B20" w:rsidRPr="00582FB1" w:rsidRDefault="00D2439C" w:rsidP="00D2439C">
      <w:pPr>
        <w:pStyle w:val="BodyText"/>
        <w:ind w:left="1440"/>
        <w:rPr>
          <w:rFonts w:asciiTheme="minorHAnsi" w:hAnsiTheme="minorHAnsi"/>
          <w:sz w:val="24"/>
          <w:szCs w:val="24"/>
        </w:rPr>
      </w:pPr>
      <w:r w:rsidRPr="00582FB1">
        <w:rPr>
          <w:rFonts w:asciiTheme="minorHAnsi" w:hAnsiTheme="minorHAnsi"/>
          <w:noProof/>
          <w:sz w:val="24"/>
          <w:szCs w:val="24"/>
          <w:lang w:eastAsia="en-US"/>
        </w:rPr>
        <w:drawing>
          <wp:anchor distT="0" distB="0" distL="114300" distR="114300" simplePos="0" relativeHeight="251658240" behindDoc="0" locked="0" layoutInCell="1" allowOverlap="1" wp14:anchorId="33F36B39" wp14:editId="1C6549EB">
            <wp:simplePos x="0" y="0"/>
            <wp:positionH relativeFrom="column">
              <wp:posOffset>157583</wp:posOffset>
            </wp:positionH>
            <wp:positionV relativeFrom="paragraph">
              <wp:posOffset>110461</wp:posOffset>
            </wp:positionV>
            <wp:extent cx="5581650" cy="173315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11765"/>
                    <a:stretch/>
                  </pic:blipFill>
                  <pic:spPr bwMode="auto">
                    <a:xfrm>
                      <a:off x="0" y="0"/>
                      <a:ext cx="5581650" cy="1733155"/>
                    </a:xfrm>
                    <a:prstGeom prst="rect">
                      <a:avLst/>
                    </a:prstGeom>
                    <a:ln>
                      <a:noFill/>
                    </a:ln>
                    <a:extLst>
                      <a:ext uri="{53640926-AAD7-44D8-BBD7-CCE9431645EC}">
                        <a14:shadowObscured xmlns:a14="http://schemas.microsoft.com/office/drawing/2010/main"/>
                      </a:ext>
                    </a:extLst>
                  </pic:spPr>
                </pic:pic>
              </a:graphicData>
            </a:graphic>
          </wp:anchor>
        </w:drawing>
      </w:r>
      <w:r w:rsidR="00522B20" w:rsidRPr="00582FB1">
        <w:rPr>
          <w:rFonts w:asciiTheme="minorHAnsi" w:hAnsiTheme="minorHAnsi"/>
          <w:sz w:val="24"/>
          <w:szCs w:val="24"/>
        </w:rPr>
        <w:t xml:space="preserve"> </w:t>
      </w:r>
    </w:p>
    <w:p w14:paraId="417ECB39" w14:textId="77777777" w:rsidR="00522B20" w:rsidRPr="00316294" w:rsidRDefault="00522B20" w:rsidP="00522B20">
      <w:pPr>
        <w:pStyle w:val="Default"/>
        <w:rPr>
          <w:rFonts w:asciiTheme="minorHAnsi" w:hAnsiTheme="minorHAnsi" w:cs="Verdana"/>
          <w:color w:val="auto"/>
        </w:rPr>
      </w:pPr>
    </w:p>
    <w:p w14:paraId="38470F77" w14:textId="77777777" w:rsidR="00522B20" w:rsidRPr="00316294" w:rsidRDefault="00522B20" w:rsidP="006578E3">
      <w:pPr>
        <w:pStyle w:val="Default"/>
        <w:numPr>
          <w:ilvl w:val="0"/>
          <w:numId w:val="30"/>
        </w:numPr>
        <w:rPr>
          <w:rFonts w:asciiTheme="minorHAnsi" w:hAnsiTheme="minorHAnsi" w:cs="Verdana"/>
          <w:color w:val="auto"/>
        </w:rPr>
      </w:pPr>
      <w:r w:rsidRPr="00316294">
        <w:rPr>
          <w:rFonts w:asciiTheme="minorHAnsi" w:hAnsiTheme="minorHAnsi" w:cs="Verdana"/>
          <w:b/>
          <w:color w:val="auto"/>
        </w:rPr>
        <w:t>Set heat pump/electrification</w:t>
      </w:r>
      <w:r w:rsidR="006F52B3" w:rsidRPr="00316294">
        <w:rPr>
          <w:rFonts w:asciiTheme="minorHAnsi" w:hAnsiTheme="minorHAnsi" w:cs="Verdana"/>
          <w:color w:val="auto"/>
        </w:rPr>
        <w:t xml:space="preserve"> </w:t>
      </w:r>
      <w:r w:rsidR="006F52B3" w:rsidRPr="00316294">
        <w:rPr>
          <w:rFonts w:asciiTheme="minorHAnsi" w:hAnsiTheme="minorHAnsi" w:cs="Verdana"/>
          <w:b/>
          <w:color w:val="auto"/>
        </w:rPr>
        <w:t>targets overall</w:t>
      </w:r>
    </w:p>
    <w:p w14:paraId="19292631" w14:textId="77777777" w:rsidR="00522B20" w:rsidRPr="00582FB1" w:rsidRDefault="00522B20" w:rsidP="00522B20">
      <w:pPr>
        <w:autoSpaceDE w:val="0"/>
        <w:autoSpaceDN w:val="0"/>
        <w:adjustRightInd w:val="0"/>
        <w:rPr>
          <w:rFonts w:asciiTheme="minorHAnsi" w:hAnsiTheme="minorHAnsi" w:cstheme="minorBidi"/>
          <w:sz w:val="24"/>
          <w:szCs w:val="24"/>
        </w:rPr>
      </w:pPr>
    </w:p>
    <w:p w14:paraId="5AAAF719" w14:textId="77777777" w:rsidR="00F87B11" w:rsidRPr="00316294" w:rsidRDefault="00F87B11" w:rsidP="00F87B11">
      <w:pPr>
        <w:pStyle w:val="Default"/>
        <w:rPr>
          <w:rFonts w:ascii="Verdana" w:hAnsi="Verdana" w:cs="Verdana"/>
          <w:b/>
          <w:color w:val="009FDA"/>
          <w:sz w:val="26"/>
          <w:szCs w:val="18"/>
        </w:rPr>
      </w:pPr>
      <w:r w:rsidRPr="00316294">
        <w:rPr>
          <w:rFonts w:asciiTheme="minorHAnsi" w:hAnsiTheme="minorHAnsi" w:cs="Verdana"/>
          <w:b/>
          <w:color w:val="auto"/>
        </w:rPr>
        <w:t xml:space="preserve">DNV GL </w:t>
      </w:r>
      <w:r w:rsidR="00167EE7">
        <w:rPr>
          <w:rFonts w:asciiTheme="minorHAnsi" w:hAnsiTheme="minorHAnsi" w:cs="Verdana"/>
          <w:b/>
          <w:color w:val="auto"/>
        </w:rPr>
        <w:t>t</w:t>
      </w:r>
      <w:r w:rsidRPr="00316294">
        <w:rPr>
          <w:rFonts w:asciiTheme="minorHAnsi" w:hAnsiTheme="minorHAnsi" w:cs="Verdana"/>
          <w:b/>
          <w:color w:val="auto"/>
        </w:rPr>
        <w:t>arget setting approach using technology adoption curve combined with natural replacement cycle of furnace and</w:t>
      </w:r>
      <w:r w:rsidR="006F52B3" w:rsidRPr="00316294">
        <w:rPr>
          <w:rFonts w:asciiTheme="minorHAnsi" w:hAnsiTheme="minorHAnsi" w:cs="Verdana"/>
          <w:b/>
          <w:color w:val="auto"/>
        </w:rPr>
        <w:t xml:space="preserve"> water heating systems:</w:t>
      </w:r>
    </w:p>
    <w:p w14:paraId="6BD656FE" w14:textId="77777777" w:rsidR="00F87B11" w:rsidRPr="00316294" w:rsidRDefault="00F87B11" w:rsidP="00F87B11">
      <w:pPr>
        <w:pStyle w:val="Default"/>
        <w:rPr>
          <w:rFonts w:ascii="Verdana" w:hAnsi="Verdana" w:cs="Verdana"/>
          <w:b/>
          <w:color w:val="009FDA"/>
          <w:sz w:val="26"/>
          <w:szCs w:val="18"/>
        </w:rPr>
      </w:pPr>
    </w:p>
    <w:p w14:paraId="18D4311B" w14:textId="77777777" w:rsidR="00F87B11" w:rsidRPr="00316294" w:rsidRDefault="00F87B11" w:rsidP="00F87B11">
      <w:pPr>
        <w:pStyle w:val="Default"/>
        <w:rPr>
          <w:rFonts w:asciiTheme="minorHAnsi" w:hAnsiTheme="minorHAnsi" w:cs="Verdana"/>
          <w:b/>
          <w:color w:val="auto"/>
        </w:rPr>
      </w:pPr>
      <w:r w:rsidRPr="00582FB1">
        <w:rPr>
          <w:rFonts w:asciiTheme="minorHAnsi" w:hAnsiTheme="minorHAnsi"/>
        </w:rPr>
        <w:t>Programs targeted at switching constituents from natural gas to electric heating have only started in the past few years, with some states in the US still incentivizing</w:t>
      </w:r>
      <w:r w:rsidRPr="00257744">
        <w:rPr>
          <w:rFonts w:asciiTheme="minorHAnsi" w:hAnsiTheme="minorHAnsi"/>
        </w:rPr>
        <w:t xml:space="preserve"> fuel switching to natural gas.  As such, the heat pump adoption curve displaying “what success looks like” is not available.   Instead, we have looked at other recent e</w:t>
      </w:r>
      <w:r w:rsidRPr="00DF5CD4">
        <w:rPr>
          <w:rFonts w:asciiTheme="minorHAnsi" w:hAnsiTheme="minorHAnsi"/>
        </w:rPr>
        <w:t xml:space="preserve">nergy efficiency technology shifts to determine what viable targets will be for the first ten years of the program. </w:t>
      </w:r>
      <w:r w:rsidR="000B11E8">
        <w:rPr>
          <w:rFonts w:asciiTheme="minorHAnsi" w:hAnsiTheme="minorHAnsi"/>
        </w:rPr>
        <w:t>T</w:t>
      </w:r>
      <w:r w:rsidR="00EA597A" w:rsidRPr="00257744">
        <w:rPr>
          <w:rFonts w:asciiTheme="minorHAnsi" w:hAnsiTheme="minorHAnsi"/>
        </w:rPr>
        <w:t xml:space="preserve">he chart </w:t>
      </w:r>
      <w:r w:rsidRPr="00257744">
        <w:rPr>
          <w:rFonts w:asciiTheme="minorHAnsi" w:hAnsiTheme="minorHAnsi"/>
        </w:rPr>
        <w:t>below outlines the adoption curve of recent disruptive and green technolo</w:t>
      </w:r>
      <w:bookmarkStart w:id="2" w:name="_Toc496783707"/>
      <w:r w:rsidR="000B11E8">
        <w:rPr>
          <w:rFonts w:asciiTheme="minorHAnsi" w:hAnsiTheme="minorHAnsi"/>
        </w:rPr>
        <w:t>gies:</w:t>
      </w:r>
    </w:p>
    <w:p w14:paraId="1F6CA2C4" w14:textId="77777777" w:rsidR="00F87B11" w:rsidRPr="00582FB1" w:rsidRDefault="00F87B11" w:rsidP="00F87B11">
      <w:pPr>
        <w:pStyle w:val="BodyText"/>
        <w:jc w:val="center"/>
        <w:rPr>
          <w:rFonts w:asciiTheme="minorHAnsi" w:hAnsiTheme="minorHAnsi"/>
          <w:b/>
          <w:sz w:val="24"/>
          <w:szCs w:val="24"/>
        </w:rPr>
      </w:pPr>
      <w:r w:rsidRPr="00582FB1">
        <w:rPr>
          <w:rFonts w:asciiTheme="minorHAnsi" w:hAnsiTheme="minorHAnsi"/>
          <w:b/>
          <w:sz w:val="24"/>
          <w:szCs w:val="24"/>
        </w:rPr>
        <w:t>Adoption rates of disruptive and green technology</w:t>
      </w:r>
      <w:bookmarkEnd w:id="2"/>
    </w:p>
    <w:p w14:paraId="25ACF765" w14:textId="77777777" w:rsidR="00F87B11" w:rsidRPr="00582FB1" w:rsidRDefault="00F87B11" w:rsidP="00F87B11">
      <w:pPr>
        <w:pStyle w:val="BodyText"/>
        <w:jc w:val="center"/>
        <w:rPr>
          <w:rFonts w:asciiTheme="minorHAnsi" w:hAnsiTheme="minorHAnsi"/>
          <w:sz w:val="24"/>
          <w:szCs w:val="24"/>
        </w:rPr>
      </w:pPr>
      <w:r w:rsidRPr="00582FB1">
        <w:rPr>
          <w:rFonts w:asciiTheme="minorHAnsi" w:hAnsiTheme="minorHAnsi"/>
          <w:noProof/>
          <w:sz w:val="24"/>
          <w:szCs w:val="24"/>
          <w:lang w:eastAsia="en-US"/>
        </w:rPr>
        <w:drawing>
          <wp:inline distT="0" distB="0" distL="0" distR="0" wp14:anchorId="74D17889" wp14:editId="230A1A81">
            <wp:extent cx="6296025" cy="2062362"/>
            <wp:effectExtent l="0" t="0" r="0" b="0"/>
            <wp:docPr id="2101" name="Chart 210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E635D2A-8AE3-4FDB-B6F3-ABEB0000DE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79BAE63" w14:textId="77777777" w:rsidR="00F87B11" w:rsidRPr="005B589F" w:rsidRDefault="00F87B11" w:rsidP="00F87B11">
      <w:pPr>
        <w:pStyle w:val="BodyText"/>
        <w:ind w:left="720"/>
        <w:rPr>
          <w:rFonts w:asciiTheme="minorHAnsi" w:hAnsiTheme="minorHAnsi"/>
          <w:sz w:val="24"/>
          <w:szCs w:val="24"/>
        </w:rPr>
      </w:pPr>
      <w:r w:rsidRPr="00257744">
        <w:rPr>
          <w:rFonts w:asciiTheme="minorHAnsi" w:hAnsiTheme="minorHAnsi"/>
          <w:sz w:val="24"/>
          <w:szCs w:val="24"/>
        </w:rPr>
        <w:t>Furnaces last 20 years. Therefore, if Boulder</w:t>
      </w:r>
      <w:r w:rsidR="00EA597A" w:rsidRPr="00257744">
        <w:rPr>
          <w:rFonts w:asciiTheme="minorHAnsi" w:hAnsiTheme="minorHAnsi"/>
          <w:sz w:val="24"/>
          <w:szCs w:val="24"/>
        </w:rPr>
        <w:t>, for example,</w:t>
      </w:r>
      <w:r w:rsidRPr="00257744">
        <w:rPr>
          <w:rFonts w:asciiTheme="minorHAnsi" w:hAnsiTheme="minorHAnsi"/>
          <w:sz w:val="24"/>
          <w:szCs w:val="24"/>
        </w:rPr>
        <w:t xml:space="preserve"> plans to </w:t>
      </w:r>
      <w:r w:rsidR="00EA597A" w:rsidRPr="00DF5CD4">
        <w:rPr>
          <w:rFonts w:asciiTheme="minorHAnsi" w:hAnsiTheme="minorHAnsi"/>
          <w:sz w:val="24"/>
          <w:szCs w:val="24"/>
        </w:rPr>
        <w:t>electrify space and water</w:t>
      </w:r>
      <w:r w:rsidRPr="00841DFE">
        <w:rPr>
          <w:rFonts w:asciiTheme="minorHAnsi" w:hAnsiTheme="minorHAnsi"/>
          <w:sz w:val="24"/>
          <w:szCs w:val="24"/>
        </w:rPr>
        <w:t xml:space="preserve"> heating system</w:t>
      </w:r>
      <w:r w:rsidR="00EA597A" w:rsidRPr="00841DFE">
        <w:rPr>
          <w:rFonts w:asciiTheme="minorHAnsi" w:hAnsiTheme="minorHAnsi"/>
          <w:sz w:val="24"/>
          <w:szCs w:val="24"/>
        </w:rPr>
        <w:t>s</w:t>
      </w:r>
      <w:r w:rsidRPr="00841DFE">
        <w:rPr>
          <w:rFonts w:asciiTheme="minorHAnsi" w:hAnsiTheme="minorHAnsi"/>
          <w:sz w:val="24"/>
          <w:szCs w:val="24"/>
        </w:rPr>
        <w:t xml:space="preserve"> by 2050</w:t>
      </w:r>
      <w:r w:rsidR="00EA597A" w:rsidRPr="00841DFE">
        <w:rPr>
          <w:rFonts w:asciiTheme="minorHAnsi" w:hAnsiTheme="minorHAnsi"/>
          <w:sz w:val="24"/>
          <w:szCs w:val="24"/>
        </w:rPr>
        <w:t xml:space="preserve"> in step with increasing renewable energy on the grid</w:t>
      </w:r>
      <w:r w:rsidRPr="00841DFE">
        <w:rPr>
          <w:rFonts w:asciiTheme="minorHAnsi" w:hAnsiTheme="minorHAnsi"/>
          <w:sz w:val="24"/>
          <w:szCs w:val="24"/>
        </w:rPr>
        <w:t xml:space="preserve">, then every unit replaced from 2030 </w:t>
      </w:r>
      <w:r w:rsidR="00312DEF">
        <w:rPr>
          <w:rFonts w:asciiTheme="minorHAnsi" w:hAnsiTheme="minorHAnsi"/>
          <w:sz w:val="24"/>
          <w:szCs w:val="24"/>
        </w:rPr>
        <w:t xml:space="preserve">onward </w:t>
      </w:r>
      <w:r w:rsidR="00EA597A" w:rsidRPr="00841DFE">
        <w:rPr>
          <w:rFonts w:asciiTheme="minorHAnsi" w:hAnsiTheme="minorHAnsi"/>
          <w:sz w:val="24"/>
          <w:szCs w:val="24"/>
        </w:rPr>
        <w:t xml:space="preserve">would </w:t>
      </w:r>
      <w:r w:rsidR="00312DEF">
        <w:rPr>
          <w:rFonts w:asciiTheme="minorHAnsi" w:hAnsiTheme="minorHAnsi"/>
          <w:sz w:val="24"/>
          <w:szCs w:val="24"/>
        </w:rPr>
        <w:t xml:space="preserve">need to </w:t>
      </w:r>
      <w:r w:rsidR="00EA597A" w:rsidRPr="00841DFE">
        <w:rPr>
          <w:rFonts w:asciiTheme="minorHAnsi" w:hAnsiTheme="minorHAnsi"/>
          <w:sz w:val="24"/>
          <w:szCs w:val="24"/>
        </w:rPr>
        <w:t>be electrified, to meet GHG targets</w:t>
      </w:r>
      <w:r w:rsidRPr="00841DFE">
        <w:rPr>
          <w:rFonts w:asciiTheme="minorHAnsi" w:hAnsiTheme="minorHAnsi"/>
          <w:sz w:val="24"/>
          <w:szCs w:val="24"/>
        </w:rPr>
        <w:t xml:space="preserve">. </w:t>
      </w:r>
      <w:r w:rsidRPr="00841DFE">
        <w:rPr>
          <w:rFonts w:asciiTheme="minorHAnsi" w:hAnsiTheme="minorHAnsi"/>
          <w:sz w:val="24"/>
          <w:szCs w:val="24"/>
        </w:rPr>
        <w:lastRenderedPageBreak/>
        <w:t>The</w:t>
      </w:r>
      <w:r w:rsidR="00EA597A" w:rsidRPr="00841DFE">
        <w:rPr>
          <w:rFonts w:asciiTheme="minorHAnsi" w:hAnsiTheme="minorHAnsi"/>
          <w:sz w:val="24"/>
          <w:szCs w:val="24"/>
        </w:rPr>
        <w:t xml:space="preserve"> 2030</w:t>
      </w:r>
      <w:r w:rsidRPr="00841DFE">
        <w:rPr>
          <w:rFonts w:asciiTheme="minorHAnsi" w:hAnsiTheme="minorHAnsi"/>
          <w:sz w:val="24"/>
          <w:szCs w:val="24"/>
        </w:rPr>
        <w:t xml:space="preserve"> target of electrifying every unit at the natural replacement timeline would result in the electrification of 2,116 water heaters and 1,058 space heaters per year. Working ba</w:t>
      </w:r>
      <w:r w:rsidRPr="005B589F">
        <w:rPr>
          <w:rFonts w:asciiTheme="minorHAnsi" w:hAnsiTheme="minorHAnsi"/>
          <w:sz w:val="24"/>
          <w:szCs w:val="24"/>
        </w:rPr>
        <w:t xml:space="preserve">ckwards from that goal and using the technology adoption curve methodology described previously, </w:t>
      </w:r>
      <w:r w:rsidR="00EA597A" w:rsidRPr="005B589F">
        <w:rPr>
          <w:rFonts w:asciiTheme="minorHAnsi" w:hAnsiTheme="minorHAnsi"/>
          <w:sz w:val="24"/>
          <w:szCs w:val="24"/>
        </w:rPr>
        <w:t xml:space="preserve">the following chart </w:t>
      </w:r>
      <w:r w:rsidRPr="005B589F">
        <w:rPr>
          <w:rFonts w:asciiTheme="minorHAnsi" w:hAnsiTheme="minorHAnsi"/>
          <w:sz w:val="24"/>
          <w:szCs w:val="24"/>
        </w:rPr>
        <w:t>outlines the annual targets for number of systems electrified within the City of Boulder.</w:t>
      </w:r>
    </w:p>
    <w:p w14:paraId="2A7DFDDC" w14:textId="77777777" w:rsidR="00C51D3D" w:rsidRDefault="00C51D3D" w:rsidP="006F52B3">
      <w:pPr>
        <w:pStyle w:val="Caption"/>
        <w:rPr>
          <w:rFonts w:asciiTheme="minorHAnsi" w:hAnsiTheme="minorHAnsi"/>
          <w:sz w:val="24"/>
          <w:szCs w:val="24"/>
        </w:rPr>
      </w:pPr>
      <w:bookmarkStart w:id="3" w:name="_Toc496783708"/>
    </w:p>
    <w:p w14:paraId="3E8097FF" w14:textId="77777777" w:rsidR="006F52B3" w:rsidRPr="00DE61B2" w:rsidRDefault="006F52B3" w:rsidP="000B11E8">
      <w:pPr>
        <w:pStyle w:val="Caption"/>
        <w:jc w:val="center"/>
        <w:rPr>
          <w:rFonts w:asciiTheme="minorHAnsi" w:hAnsiTheme="minorHAnsi"/>
          <w:sz w:val="24"/>
          <w:szCs w:val="24"/>
        </w:rPr>
      </w:pPr>
      <w:r w:rsidRPr="00DE61B2">
        <w:rPr>
          <w:rFonts w:asciiTheme="minorHAnsi" w:hAnsiTheme="minorHAnsi"/>
          <w:sz w:val="24"/>
          <w:szCs w:val="24"/>
        </w:rPr>
        <w:t>RH&amp;C Installation Target by Year</w:t>
      </w:r>
      <w:bookmarkEnd w:id="3"/>
    </w:p>
    <w:p w14:paraId="6653D884" w14:textId="77777777" w:rsidR="00522B20" w:rsidRPr="00DE61B2" w:rsidRDefault="00522B20" w:rsidP="00522B20">
      <w:pPr>
        <w:autoSpaceDE w:val="0"/>
        <w:autoSpaceDN w:val="0"/>
        <w:adjustRightInd w:val="0"/>
        <w:rPr>
          <w:rFonts w:asciiTheme="minorHAnsi" w:hAnsiTheme="minorHAnsi" w:cstheme="minorBidi"/>
          <w:sz w:val="24"/>
          <w:szCs w:val="24"/>
        </w:rPr>
      </w:pPr>
    </w:p>
    <w:p w14:paraId="39A639B6" w14:textId="77777777" w:rsidR="00522B20" w:rsidRPr="0011467B" w:rsidRDefault="00522B20" w:rsidP="00522B20">
      <w:pPr>
        <w:pStyle w:val="Caption"/>
        <w:rPr>
          <w:rFonts w:asciiTheme="minorHAnsi" w:hAnsiTheme="minorHAnsi"/>
          <w:sz w:val="24"/>
          <w:szCs w:val="24"/>
        </w:rPr>
      </w:pPr>
      <w:bookmarkStart w:id="4" w:name="_Ref496547103"/>
      <w:bookmarkStart w:id="5" w:name="_Toc496783691"/>
    </w:p>
    <w:p w14:paraId="3900DB53" w14:textId="77777777" w:rsidR="00522B20" w:rsidRPr="00582FB1" w:rsidRDefault="006F52B3" w:rsidP="00522B20">
      <w:pPr>
        <w:pStyle w:val="Caption"/>
        <w:rPr>
          <w:rFonts w:asciiTheme="minorHAnsi" w:hAnsiTheme="minorHAnsi"/>
          <w:sz w:val="24"/>
          <w:szCs w:val="24"/>
        </w:rPr>
      </w:pPr>
      <w:r w:rsidRPr="00582FB1">
        <w:rPr>
          <w:rFonts w:asciiTheme="minorHAnsi" w:hAnsiTheme="minorHAnsi"/>
          <w:noProof/>
          <w:sz w:val="24"/>
          <w:szCs w:val="24"/>
          <w:lang w:eastAsia="en-US"/>
        </w:rPr>
        <w:drawing>
          <wp:inline distT="0" distB="0" distL="0" distR="0" wp14:anchorId="55A78EB8" wp14:editId="181B0A1A">
            <wp:extent cx="6507480" cy="1950720"/>
            <wp:effectExtent l="0" t="0" r="7620" b="0"/>
            <wp:docPr id="24" name="Chart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C524255-2B40-4E92-A163-159E30044C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0EAE1AE" w14:textId="77777777" w:rsidR="00522B20" w:rsidRPr="00DF5CD4" w:rsidRDefault="006F52B3" w:rsidP="006F52B3">
      <w:pPr>
        <w:pStyle w:val="Caption"/>
        <w:numPr>
          <w:ilvl w:val="0"/>
          <w:numId w:val="30"/>
        </w:numPr>
        <w:rPr>
          <w:rFonts w:asciiTheme="minorHAnsi" w:hAnsiTheme="minorHAnsi"/>
          <w:sz w:val="24"/>
          <w:szCs w:val="24"/>
        </w:rPr>
      </w:pPr>
      <w:r w:rsidRPr="00257744">
        <w:rPr>
          <w:rFonts w:asciiTheme="minorHAnsi" w:hAnsiTheme="minorHAnsi"/>
          <w:sz w:val="24"/>
          <w:szCs w:val="24"/>
        </w:rPr>
        <w:t>Det</w:t>
      </w:r>
      <w:r w:rsidRPr="00DF5CD4">
        <w:rPr>
          <w:rFonts w:asciiTheme="minorHAnsi" w:hAnsiTheme="minorHAnsi"/>
          <w:sz w:val="24"/>
          <w:szCs w:val="24"/>
        </w:rPr>
        <w:t>ermine GHG savings for this target</w:t>
      </w:r>
    </w:p>
    <w:p w14:paraId="7DE0CAF1" w14:textId="77777777" w:rsidR="00CF79AF" w:rsidRPr="000B11E8" w:rsidRDefault="006F52B3" w:rsidP="00CF79AF">
      <w:pPr>
        <w:pStyle w:val="BodyText"/>
        <w:ind w:left="720"/>
        <w:rPr>
          <w:rFonts w:asciiTheme="minorHAnsi" w:hAnsiTheme="minorHAnsi"/>
          <w:sz w:val="24"/>
          <w:szCs w:val="24"/>
        </w:rPr>
      </w:pPr>
      <w:bookmarkStart w:id="6" w:name="_Ref496518387"/>
      <w:r w:rsidRPr="000B11E8">
        <w:rPr>
          <w:rFonts w:asciiTheme="minorHAnsi" w:hAnsiTheme="minorHAnsi"/>
          <w:sz w:val="24"/>
          <w:szCs w:val="24"/>
        </w:rPr>
        <w:t xml:space="preserve">If all 40,000 of Boulder’s </w:t>
      </w:r>
      <w:proofErr w:type="gramStart"/>
      <w:r w:rsidRPr="000B11E8">
        <w:rPr>
          <w:rFonts w:asciiTheme="minorHAnsi" w:hAnsiTheme="minorHAnsi"/>
          <w:sz w:val="24"/>
          <w:szCs w:val="24"/>
        </w:rPr>
        <w:t>single family</w:t>
      </w:r>
      <w:proofErr w:type="gramEnd"/>
      <w:r w:rsidRPr="000B11E8">
        <w:rPr>
          <w:rFonts w:asciiTheme="minorHAnsi" w:hAnsiTheme="minorHAnsi"/>
          <w:sz w:val="24"/>
          <w:szCs w:val="24"/>
        </w:rPr>
        <w:t xml:space="preserve"> housing units </w:t>
      </w:r>
      <w:r w:rsidR="00CF79AF" w:rsidRPr="000B11E8">
        <w:rPr>
          <w:rFonts w:asciiTheme="minorHAnsi" w:hAnsiTheme="minorHAnsi"/>
          <w:sz w:val="24"/>
          <w:szCs w:val="24"/>
        </w:rPr>
        <w:t>decarbonized space heating/cooling and water heating sy</w:t>
      </w:r>
      <w:r w:rsidR="00312DEF">
        <w:rPr>
          <w:rFonts w:asciiTheme="minorHAnsi" w:hAnsiTheme="minorHAnsi"/>
          <w:sz w:val="24"/>
          <w:szCs w:val="24"/>
        </w:rPr>
        <w:t>s</w:t>
      </w:r>
      <w:r w:rsidR="00CF79AF" w:rsidRPr="000B11E8">
        <w:rPr>
          <w:rFonts w:asciiTheme="minorHAnsi" w:hAnsiTheme="minorHAnsi"/>
          <w:sz w:val="24"/>
          <w:szCs w:val="24"/>
        </w:rPr>
        <w:t>tems</w:t>
      </w:r>
      <w:r w:rsidRPr="000B11E8">
        <w:rPr>
          <w:rFonts w:asciiTheme="minorHAnsi" w:hAnsiTheme="minorHAnsi"/>
          <w:sz w:val="24"/>
          <w:szCs w:val="24"/>
        </w:rPr>
        <w:t>, this would represent a savings of approximately 200,000 million cumulative tons CO2 (mtCO2e) saved by 2050</w:t>
      </w:r>
      <w:bookmarkEnd w:id="6"/>
      <w:r w:rsidR="00CF79AF" w:rsidRPr="000B11E8">
        <w:rPr>
          <w:rFonts w:asciiTheme="minorHAnsi" w:hAnsiTheme="minorHAnsi"/>
          <w:sz w:val="24"/>
          <w:szCs w:val="24"/>
        </w:rPr>
        <w:t>.</w:t>
      </w:r>
    </w:p>
    <w:p w14:paraId="33D66DC5" w14:textId="77777777" w:rsidR="006F52B3" w:rsidRPr="00565E8B" w:rsidRDefault="006F52B3" w:rsidP="000B11E8">
      <w:pPr>
        <w:pStyle w:val="BodyText"/>
        <w:ind w:left="720"/>
        <w:jc w:val="center"/>
        <w:rPr>
          <w:b/>
        </w:rPr>
      </w:pPr>
      <w:r w:rsidRPr="00841DFE">
        <w:rPr>
          <w:b/>
        </w:rPr>
        <w:t>Annual emissions of residential thermal systems</w:t>
      </w:r>
      <w:r w:rsidR="00CF79AF" w:rsidRPr="00841DFE">
        <w:rPr>
          <w:b/>
        </w:rPr>
        <w:t xml:space="preserve"> in Boulder</w:t>
      </w:r>
    </w:p>
    <w:p w14:paraId="443DFFE6" w14:textId="77777777" w:rsidR="006F52B3" w:rsidRPr="00582FB1" w:rsidRDefault="006F52B3" w:rsidP="00CF79AF">
      <w:pPr>
        <w:pStyle w:val="BodyText"/>
        <w:ind w:left="720"/>
      </w:pPr>
      <w:r w:rsidRPr="00582FB1">
        <w:rPr>
          <w:noProof/>
          <w:lang w:eastAsia="en-US"/>
        </w:rPr>
        <w:drawing>
          <wp:inline distT="0" distB="0" distL="0" distR="0" wp14:anchorId="605F5871" wp14:editId="44D0CE74">
            <wp:extent cx="6296025" cy="2256790"/>
            <wp:effectExtent l="0" t="0" r="9525" b="0"/>
            <wp:docPr id="2073" name="Chart 207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B9C9C8C2-E73A-44EE-8B0C-A0BED41697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bookmarkEnd w:id="4"/>
    <w:bookmarkEnd w:id="5"/>
    <w:p w14:paraId="198EF286" w14:textId="77777777" w:rsidR="00A36E32" w:rsidRPr="00582FB1" w:rsidRDefault="00A36E32" w:rsidP="001E3D7D">
      <w:pPr>
        <w:pStyle w:val="Default"/>
        <w:spacing w:before="120"/>
        <w:ind w:left="360"/>
        <w:rPr>
          <w:rFonts w:asciiTheme="minorHAnsi" w:hAnsiTheme="minorHAnsi"/>
        </w:rPr>
      </w:pPr>
    </w:p>
    <w:p w14:paraId="1BFABB99" w14:textId="77777777" w:rsidR="001E3D7D" w:rsidRPr="00DF5CD4" w:rsidRDefault="00CF79AF" w:rsidP="00CF79AF">
      <w:pPr>
        <w:pStyle w:val="Default"/>
        <w:numPr>
          <w:ilvl w:val="0"/>
          <w:numId w:val="30"/>
        </w:numPr>
        <w:rPr>
          <w:rFonts w:asciiTheme="minorHAnsi" w:hAnsiTheme="minorHAnsi"/>
        </w:rPr>
      </w:pPr>
      <w:r w:rsidRPr="00257744">
        <w:rPr>
          <w:rFonts w:asciiTheme="minorHAnsi" w:hAnsiTheme="minorHAnsi"/>
          <w:b/>
        </w:rPr>
        <w:t>Determine Target by Customer Segment</w:t>
      </w:r>
      <w:r w:rsidR="00312DEF">
        <w:rPr>
          <w:rFonts w:asciiTheme="minorHAnsi" w:hAnsiTheme="minorHAnsi"/>
          <w:b/>
        </w:rPr>
        <w:t xml:space="preserve"> </w:t>
      </w:r>
      <w:r w:rsidR="00312DEF">
        <w:rPr>
          <w:rFonts w:asciiTheme="minorHAnsi" w:hAnsiTheme="minorHAnsi"/>
        </w:rPr>
        <w:t>using</w:t>
      </w:r>
      <w:r w:rsidR="00A34550" w:rsidRPr="00DF5CD4">
        <w:rPr>
          <w:rFonts w:asciiTheme="minorHAnsi" w:hAnsiTheme="minorHAnsi"/>
        </w:rPr>
        <w:t xml:space="preserve"> </w:t>
      </w:r>
      <w:r w:rsidRPr="00DF5CD4">
        <w:rPr>
          <w:rFonts w:asciiTheme="minorHAnsi" w:hAnsiTheme="minorHAnsi"/>
        </w:rPr>
        <w:t>Radiant Labs software</w:t>
      </w:r>
    </w:p>
    <w:p w14:paraId="7CFBA9E8" w14:textId="77777777" w:rsidR="001E3D7D" w:rsidRPr="00841DFE" w:rsidRDefault="001E3D7D" w:rsidP="00D362EF">
      <w:pPr>
        <w:pStyle w:val="Default"/>
        <w:rPr>
          <w:rFonts w:asciiTheme="minorHAnsi" w:hAnsiTheme="minorHAnsi"/>
        </w:rPr>
      </w:pPr>
    </w:p>
    <w:p w14:paraId="5DB21481" w14:textId="77777777" w:rsidR="003A21B4" w:rsidRPr="00316294" w:rsidRDefault="003A21B4" w:rsidP="00CF79AF">
      <w:pPr>
        <w:pStyle w:val="Default"/>
        <w:numPr>
          <w:ilvl w:val="0"/>
          <w:numId w:val="28"/>
        </w:numPr>
        <w:rPr>
          <w:rFonts w:ascii="Verdana" w:hAnsi="Verdana" w:cs="Verdana"/>
          <w:b/>
          <w:color w:val="009FDA"/>
          <w:sz w:val="26"/>
          <w:szCs w:val="18"/>
        </w:rPr>
      </w:pPr>
      <w:r w:rsidRPr="00841DFE">
        <w:rPr>
          <w:b/>
          <w:color w:val="009FDA"/>
          <w:sz w:val="26"/>
        </w:rPr>
        <w:t xml:space="preserve">Radiant labs data aggregation and segmentation approach </w:t>
      </w:r>
    </w:p>
    <w:p w14:paraId="13C97002" w14:textId="77777777" w:rsidR="003A21B4" w:rsidRPr="00257744" w:rsidRDefault="003A21B4" w:rsidP="003A21B4">
      <w:pPr>
        <w:rPr>
          <w:rFonts w:asciiTheme="minorHAnsi" w:hAnsiTheme="minorHAnsi"/>
          <w:sz w:val="24"/>
          <w:szCs w:val="24"/>
        </w:rPr>
      </w:pPr>
      <w:r w:rsidRPr="00582FB1">
        <w:rPr>
          <w:rFonts w:asciiTheme="minorHAnsi" w:hAnsiTheme="minorHAnsi"/>
          <w:sz w:val="24"/>
          <w:szCs w:val="24"/>
        </w:rPr>
        <w:t>Radiant Lab’s has an iterative adoption and refinement approach that helps an efficiency program</w:t>
      </w:r>
      <w:r w:rsidRPr="00257744">
        <w:rPr>
          <w:rFonts w:asciiTheme="minorHAnsi" w:hAnsiTheme="minorHAnsi"/>
          <w:sz w:val="24"/>
          <w:szCs w:val="24"/>
        </w:rPr>
        <w:t>, such as the heat pump initiative, regularly course correct. This process requires three major steps:</w:t>
      </w:r>
    </w:p>
    <w:p w14:paraId="31DAB9B8" w14:textId="77777777" w:rsidR="003A21B4" w:rsidRPr="00DF5CD4" w:rsidRDefault="003A21B4" w:rsidP="003A21B4">
      <w:pPr>
        <w:rPr>
          <w:rFonts w:asciiTheme="minorHAnsi" w:hAnsiTheme="minorHAnsi" w:cs="Segoe UI Semilight"/>
          <w:b/>
          <w:color w:val="000000"/>
          <w:sz w:val="24"/>
          <w:szCs w:val="24"/>
        </w:rPr>
      </w:pPr>
    </w:p>
    <w:p w14:paraId="2F139C24" w14:textId="77777777" w:rsidR="00A34550" w:rsidRPr="00DF5CD4" w:rsidRDefault="00312DEF" w:rsidP="00A34550">
      <w:pPr>
        <w:pStyle w:val="Heading2"/>
        <w:numPr>
          <w:ilvl w:val="0"/>
          <w:numId w:val="0"/>
        </w:numPr>
        <w:spacing w:before="120" w:after="140" w:line="280" w:lineRule="atLeast"/>
        <w:rPr>
          <w:rFonts w:asciiTheme="minorHAnsi" w:hAnsiTheme="minorHAnsi"/>
          <w:sz w:val="24"/>
          <w:szCs w:val="24"/>
        </w:rPr>
      </w:pPr>
      <w:bookmarkStart w:id="7" w:name="_Toc496783654"/>
      <w:r>
        <w:rPr>
          <w:rFonts w:asciiTheme="minorHAnsi" w:hAnsiTheme="minorHAnsi"/>
          <w:sz w:val="24"/>
          <w:szCs w:val="24"/>
        </w:rPr>
        <w:lastRenderedPageBreak/>
        <w:t xml:space="preserve">1. </w:t>
      </w:r>
      <w:r w:rsidR="00A34550" w:rsidRPr="00DF5CD4">
        <w:rPr>
          <w:rFonts w:asciiTheme="minorHAnsi" w:hAnsiTheme="minorHAnsi"/>
          <w:sz w:val="24"/>
          <w:szCs w:val="24"/>
        </w:rPr>
        <w:t>Customer segmentation</w:t>
      </w:r>
      <w:bookmarkEnd w:id="7"/>
    </w:p>
    <w:p w14:paraId="1E59D1D2" w14:textId="77777777" w:rsidR="00A34550" w:rsidRPr="005B589F" w:rsidRDefault="00A34550" w:rsidP="00A34550">
      <w:pPr>
        <w:pStyle w:val="BodyText"/>
        <w:rPr>
          <w:rFonts w:asciiTheme="minorHAnsi" w:hAnsiTheme="minorHAnsi"/>
          <w:sz w:val="24"/>
          <w:szCs w:val="24"/>
        </w:rPr>
      </w:pPr>
      <w:r w:rsidRPr="00841DFE">
        <w:rPr>
          <w:rFonts w:asciiTheme="minorHAnsi" w:hAnsiTheme="minorHAnsi"/>
          <w:sz w:val="24"/>
          <w:szCs w:val="24"/>
        </w:rPr>
        <w:t>Customer profiles or archetypes have been developed for the top priority potential customers in Boulder based on building characteristics, demographics, and social indicator analysis. Radiant Labs has developed a tool for use by the city, which can be used for ongoing market segmentation/targeting, monitoring, and evaluation. The tool includes county assessor’s data, permit data, building archetypes, census data, energy smart program data, as well as energy efficiency, solar PV, and other weatherization measure inputs. Radiant Lab’s tool will be used to effectively target and generate demand i</w:t>
      </w:r>
      <w:r w:rsidRPr="005B589F">
        <w:rPr>
          <w:rFonts w:asciiTheme="minorHAnsi" w:hAnsiTheme="minorHAnsi"/>
          <w:sz w:val="24"/>
          <w:szCs w:val="24"/>
        </w:rPr>
        <w:t>n each customer segment.</w:t>
      </w:r>
    </w:p>
    <w:p w14:paraId="76D3165D" w14:textId="77777777" w:rsidR="00A34550" w:rsidRPr="00DE61B2" w:rsidRDefault="00312DEF" w:rsidP="00A34550">
      <w:pPr>
        <w:pStyle w:val="Heading2"/>
        <w:numPr>
          <w:ilvl w:val="0"/>
          <w:numId w:val="0"/>
        </w:numPr>
        <w:spacing w:before="120" w:after="140" w:line="280" w:lineRule="atLeast"/>
        <w:rPr>
          <w:rFonts w:asciiTheme="minorHAnsi" w:hAnsiTheme="minorHAnsi"/>
          <w:sz w:val="24"/>
          <w:szCs w:val="24"/>
        </w:rPr>
      </w:pPr>
      <w:r>
        <w:rPr>
          <w:rFonts w:asciiTheme="minorHAnsi" w:hAnsiTheme="minorHAnsi"/>
          <w:sz w:val="24"/>
          <w:szCs w:val="24"/>
        </w:rPr>
        <w:t xml:space="preserve">2. </w:t>
      </w:r>
      <w:r w:rsidR="00A34550" w:rsidRPr="00DE61B2">
        <w:rPr>
          <w:rFonts w:asciiTheme="minorHAnsi" w:hAnsiTheme="minorHAnsi"/>
          <w:sz w:val="24"/>
          <w:szCs w:val="24"/>
        </w:rPr>
        <w:t>Boulder early adopter cohorts</w:t>
      </w:r>
    </w:p>
    <w:p w14:paraId="1B0DED04" w14:textId="77777777" w:rsidR="00A34550" w:rsidRPr="00582FB1" w:rsidRDefault="00A34550" w:rsidP="00A34550">
      <w:pPr>
        <w:spacing w:before="40" w:after="140" w:line="280" w:lineRule="atLeast"/>
        <w:rPr>
          <w:rFonts w:asciiTheme="minorHAnsi" w:hAnsiTheme="minorHAnsi"/>
          <w:sz w:val="24"/>
          <w:szCs w:val="24"/>
        </w:rPr>
      </w:pPr>
      <w:r w:rsidRPr="00DE61B2">
        <w:rPr>
          <w:rFonts w:asciiTheme="minorHAnsi" w:hAnsiTheme="minorHAnsi"/>
          <w:sz w:val="24"/>
          <w:szCs w:val="24"/>
        </w:rPr>
        <w:t>In Boulder, there are several early adopter archetypes, or cohorts, representing the profiles of consumers who would be likely to adopt heat pump technology. Many of these consumers are interested in e</w:t>
      </w:r>
      <w:r w:rsidRPr="0011467B">
        <w:rPr>
          <w:rFonts w:asciiTheme="minorHAnsi" w:hAnsiTheme="minorHAnsi"/>
          <w:sz w:val="24"/>
          <w:szCs w:val="24"/>
        </w:rPr>
        <w:t>nergy efficiency, solar PV, electric vehicles</w:t>
      </w:r>
      <w:r w:rsidR="002F3C61">
        <w:rPr>
          <w:rFonts w:asciiTheme="minorHAnsi" w:hAnsiTheme="minorHAnsi"/>
          <w:sz w:val="24"/>
          <w:szCs w:val="24"/>
        </w:rPr>
        <w:t>,</w:t>
      </w:r>
      <w:r w:rsidRPr="0011467B">
        <w:rPr>
          <w:rFonts w:asciiTheme="minorHAnsi" w:hAnsiTheme="minorHAnsi"/>
          <w:sz w:val="24"/>
          <w:szCs w:val="24"/>
        </w:rPr>
        <w:t xml:space="preserve"> and lack air conditioning. As temperatures in Boulder rise, demand grows for AC, which is a key intervention point to get </w:t>
      </w:r>
      <w:r w:rsidR="002F3C61">
        <w:rPr>
          <w:rFonts w:asciiTheme="minorHAnsi" w:hAnsiTheme="minorHAnsi"/>
          <w:sz w:val="24"/>
          <w:szCs w:val="24"/>
        </w:rPr>
        <w:t>Air Source Heating and Cooling (</w:t>
      </w:r>
      <w:r w:rsidRPr="0011467B">
        <w:rPr>
          <w:rFonts w:asciiTheme="minorHAnsi" w:hAnsiTheme="minorHAnsi"/>
          <w:sz w:val="24"/>
          <w:szCs w:val="24"/>
        </w:rPr>
        <w:t>ASHC</w:t>
      </w:r>
      <w:r w:rsidR="002F3C61">
        <w:rPr>
          <w:rFonts w:asciiTheme="minorHAnsi" w:hAnsiTheme="minorHAnsi"/>
          <w:sz w:val="24"/>
          <w:szCs w:val="24"/>
        </w:rPr>
        <w:t>)</w:t>
      </w:r>
      <w:r w:rsidRPr="0011467B">
        <w:rPr>
          <w:rFonts w:asciiTheme="minorHAnsi" w:hAnsiTheme="minorHAnsi"/>
          <w:sz w:val="24"/>
          <w:szCs w:val="24"/>
        </w:rPr>
        <w:t xml:space="preserve"> technology into the home. Other key customer segments are lik</w:t>
      </w:r>
      <w:r w:rsidRPr="00582FB1">
        <w:rPr>
          <w:rFonts w:asciiTheme="minorHAnsi" w:hAnsiTheme="minorHAnsi"/>
          <w:sz w:val="24"/>
          <w:szCs w:val="24"/>
        </w:rPr>
        <w:t xml:space="preserve">ely to need a furnace or water heater replacement in </w:t>
      </w:r>
      <w:r w:rsidR="000B11E8">
        <w:rPr>
          <w:rFonts w:asciiTheme="minorHAnsi" w:hAnsiTheme="minorHAnsi"/>
          <w:sz w:val="24"/>
          <w:szCs w:val="24"/>
        </w:rPr>
        <w:t xml:space="preserve">the next five years. The map below </w:t>
      </w:r>
      <w:r w:rsidRPr="00582FB1">
        <w:rPr>
          <w:rFonts w:asciiTheme="minorHAnsi" w:hAnsiTheme="minorHAnsi"/>
          <w:sz w:val="24"/>
          <w:szCs w:val="24"/>
        </w:rPr>
        <w:t xml:space="preserve">shows an example of priority cohorts that the Radiant Labs tool can produce. </w:t>
      </w:r>
    </w:p>
    <w:p w14:paraId="004A766B" w14:textId="77777777" w:rsidR="00A34550" w:rsidRPr="00DF5CD4" w:rsidRDefault="00A34550" w:rsidP="000B11E8">
      <w:pPr>
        <w:pStyle w:val="Caption"/>
        <w:keepNext/>
        <w:jc w:val="center"/>
        <w:rPr>
          <w:rFonts w:asciiTheme="minorHAnsi" w:hAnsiTheme="minorHAnsi"/>
          <w:sz w:val="24"/>
          <w:szCs w:val="24"/>
        </w:rPr>
      </w:pPr>
      <w:bookmarkStart w:id="8" w:name="_Toc496783698"/>
      <w:r w:rsidRPr="00257744">
        <w:rPr>
          <w:rFonts w:asciiTheme="minorHAnsi" w:hAnsiTheme="minorHAnsi"/>
          <w:sz w:val="24"/>
          <w:szCs w:val="24"/>
        </w:rPr>
        <w:t>Sample map of furnaces to expire in nex</w:t>
      </w:r>
      <w:r w:rsidRPr="00DF5CD4">
        <w:rPr>
          <w:rFonts w:asciiTheme="minorHAnsi" w:hAnsiTheme="minorHAnsi"/>
          <w:sz w:val="24"/>
          <w:szCs w:val="24"/>
        </w:rPr>
        <w:t>t 5 years</w:t>
      </w:r>
      <w:bookmarkEnd w:id="8"/>
    </w:p>
    <w:p w14:paraId="43AD90AE" w14:textId="77777777" w:rsidR="00A34550" w:rsidRPr="00582FB1" w:rsidRDefault="00A34550" w:rsidP="00A34550">
      <w:pPr>
        <w:spacing w:before="40" w:after="140" w:line="280" w:lineRule="atLeast"/>
        <w:jc w:val="center"/>
        <w:rPr>
          <w:rFonts w:asciiTheme="minorHAnsi" w:hAnsiTheme="minorHAnsi"/>
          <w:sz w:val="24"/>
          <w:szCs w:val="24"/>
        </w:rPr>
      </w:pPr>
      <w:r w:rsidRPr="00582FB1">
        <w:rPr>
          <w:rFonts w:asciiTheme="minorHAnsi" w:hAnsiTheme="minorHAnsi"/>
          <w:b/>
          <w:bCs/>
          <w:noProof/>
          <w:sz w:val="24"/>
          <w:szCs w:val="24"/>
          <w:lang w:eastAsia="en-US"/>
        </w:rPr>
        <w:drawing>
          <wp:inline distT="0" distB="0" distL="0" distR="0" wp14:anchorId="198D0518" wp14:editId="52093219">
            <wp:extent cx="5090160" cy="3794473"/>
            <wp:effectExtent l="0" t="0" r="0" b="0"/>
            <wp:docPr id="35" name="Picture 35" descr="../../../../Desktop/screen_shot_2017-10-12_at_4.22.16_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screen_shot_2017-10-12_at_4.22.16_pm.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97403" cy="3799872"/>
                    </a:xfrm>
                    <a:prstGeom prst="rect">
                      <a:avLst/>
                    </a:prstGeom>
                    <a:noFill/>
                    <a:ln>
                      <a:noFill/>
                    </a:ln>
                  </pic:spPr>
                </pic:pic>
              </a:graphicData>
            </a:graphic>
          </wp:inline>
        </w:drawing>
      </w:r>
    </w:p>
    <w:p w14:paraId="74944AAF" w14:textId="77777777" w:rsidR="00A34550" w:rsidRPr="00257744" w:rsidRDefault="00A34550" w:rsidP="00D2439C">
      <w:pPr>
        <w:pStyle w:val="BodyText"/>
        <w:rPr>
          <w:rFonts w:asciiTheme="minorHAnsi" w:hAnsiTheme="minorHAnsi"/>
          <w:sz w:val="24"/>
          <w:szCs w:val="24"/>
        </w:rPr>
      </w:pPr>
    </w:p>
    <w:p w14:paraId="7802243E" w14:textId="77777777" w:rsidR="00A34550" w:rsidRPr="00841DFE" w:rsidRDefault="00A34550" w:rsidP="00D2439C">
      <w:pPr>
        <w:spacing w:line="280" w:lineRule="atLeast"/>
        <w:rPr>
          <w:rFonts w:asciiTheme="minorHAnsi" w:hAnsiTheme="minorHAnsi"/>
          <w:sz w:val="24"/>
          <w:szCs w:val="24"/>
        </w:rPr>
      </w:pPr>
      <w:r w:rsidRPr="00DF5CD4">
        <w:rPr>
          <w:rFonts w:asciiTheme="minorHAnsi" w:hAnsiTheme="minorHAnsi"/>
          <w:sz w:val="24"/>
          <w:szCs w:val="24"/>
        </w:rPr>
        <w:t>Consumers who have previously participated in energy efficiency programs may be more open to adopting a new technology, particularly when there are incentives. Aside from those who care about the environment, early adopters may often be motive</w:t>
      </w:r>
      <w:r w:rsidRPr="00841DFE">
        <w:rPr>
          <w:rFonts w:asciiTheme="minorHAnsi" w:hAnsiTheme="minorHAnsi"/>
          <w:sz w:val="24"/>
          <w:szCs w:val="24"/>
        </w:rPr>
        <w:t xml:space="preserve">d by cost or comfort concerns, either reducing heating costs in areas where natural gas is unavailable or replacing outdated and inefficient equipment. A survey of existing heat pump customers demonstrated a range of </w:t>
      </w:r>
      <w:r w:rsidRPr="00841DFE">
        <w:rPr>
          <w:rFonts w:asciiTheme="minorHAnsi" w:hAnsiTheme="minorHAnsi"/>
          <w:sz w:val="24"/>
          <w:szCs w:val="24"/>
        </w:rPr>
        <w:lastRenderedPageBreak/>
        <w:t xml:space="preserve">motivations for selecting heat pumps with the primary reasons as follows: efficiency, comfort, adding cooling, and utilizing with solar PV. The existing customers are not representative of the broader market of average homeowners in Boulder; however, they provide insight into the mindset of early adopters. </w:t>
      </w:r>
      <w:r w:rsidR="00167EE7">
        <w:rPr>
          <w:rFonts w:asciiTheme="minorHAnsi" w:hAnsiTheme="minorHAnsi"/>
          <w:sz w:val="24"/>
          <w:szCs w:val="24"/>
        </w:rPr>
        <w:t>Figure 2</w:t>
      </w:r>
      <w:r w:rsidRPr="00841DFE">
        <w:rPr>
          <w:rFonts w:asciiTheme="minorHAnsi" w:hAnsiTheme="minorHAnsi"/>
          <w:sz w:val="24"/>
          <w:szCs w:val="24"/>
        </w:rPr>
        <w:t xml:space="preserve"> provides a snap shot of 7 potential early adopter archetypes that can be input (via filters) into the Radiant Lab tool.  The table below the figure shows how many Boulder homes currently exist in each early adopter archetype. </w:t>
      </w:r>
    </w:p>
    <w:p w14:paraId="0535445B" w14:textId="77777777" w:rsidR="00A34550" w:rsidRPr="005B589F" w:rsidRDefault="00A34550" w:rsidP="00D2439C">
      <w:pPr>
        <w:spacing w:line="280" w:lineRule="atLeast"/>
        <w:rPr>
          <w:rFonts w:asciiTheme="minorHAnsi" w:hAnsiTheme="minorHAnsi"/>
          <w:sz w:val="24"/>
          <w:szCs w:val="24"/>
        </w:rPr>
      </w:pPr>
    </w:p>
    <w:p w14:paraId="678C04D6" w14:textId="77777777" w:rsidR="00A34550" w:rsidRPr="00DE61B2" w:rsidRDefault="00A34550" w:rsidP="00D2439C">
      <w:pPr>
        <w:spacing w:line="280" w:lineRule="atLeast"/>
        <w:rPr>
          <w:rFonts w:asciiTheme="minorHAnsi" w:hAnsiTheme="minorHAnsi"/>
          <w:sz w:val="24"/>
          <w:szCs w:val="24"/>
        </w:rPr>
      </w:pPr>
      <w:r w:rsidRPr="00DE61B2">
        <w:rPr>
          <w:rFonts w:asciiTheme="minorHAnsi" w:hAnsiTheme="minorHAnsi"/>
          <w:sz w:val="24"/>
          <w:szCs w:val="24"/>
        </w:rPr>
        <w:t xml:space="preserve">The total of all these archetypes is 19,785 homes, with over half of those being the “well to do progressives” who are in need of replacing </w:t>
      </w:r>
      <w:r w:rsidR="002F3C61">
        <w:rPr>
          <w:rFonts w:asciiTheme="minorHAnsi" w:hAnsiTheme="minorHAnsi"/>
          <w:sz w:val="24"/>
          <w:szCs w:val="24"/>
        </w:rPr>
        <w:t xml:space="preserve">their </w:t>
      </w:r>
      <w:r w:rsidRPr="00DE61B2">
        <w:rPr>
          <w:rFonts w:asciiTheme="minorHAnsi" w:hAnsiTheme="minorHAnsi"/>
          <w:sz w:val="24"/>
          <w:szCs w:val="24"/>
        </w:rPr>
        <w:t xml:space="preserve">AC or furnace in next five years, within census block where median income is greater than $81,000. </w:t>
      </w:r>
    </w:p>
    <w:p w14:paraId="01A28546" w14:textId="77777777" w:rsidR="002F3C61" w:rsidRDefault="002F3C61" w:rsidP="000B11E8">
      <w:pPr>
        <w:pStyle w:val="Caption"/>
        <w:keepNext/>
        <w:jc w:val="center"/>
      </w:pPr>
      <w:r>
        <w:t xml:space="preserve">Figure </w:t>
      </w:r>
      <w:fldSimple w:instr=" SEQ Figure \* ARABIC ">
        <w:r>
          <w:rPr>
            <w:noProof/>
          </w:rPr>
          <w:t>2</w:t>
        </w:r>
      </w:fldSimple>
      <w:r>
        <w:t xml:space="preserve"> Early Adopter Cohort Example</w:t>
      </w:r>
    </w:p>
    <w:p w14:paraId="52DF87C0" w14:textId="77777777" w:rsidR="00A34550" w:rsidRPr="00582FB1" w:rsidRDefault="00A34550" w:rsidP="00A34550">
      <w:pPr>
        <w:pStyle w:val="Caption"/>
        <w:rPr>
          <w:rFonts w:asciiTheme="minorHAnsi" w:hAnsiTheme="minorHAnsi"/>
          <w:sz w:val="24"/>
          <w:szCs w:val="24"/>
        </w:rPr>
      </w:pPr>
      <w:r w:rsidRPr="00582FB1">
        <w:rPr>
          <w:rFonts w:asciiTheme="minorHAnsi" w:hAnsiTheme="minorHAnsi"/>
          <w:noProof/>
          <w:sz w:val="24"/>
          <w:szCs w:val="24"/>
          <w:lang w:eastAsia="en-US"/>
        </w:rPr>
        <w:drawing>
          <wp:inline distT="0" distB="0" distL="0" distR="0" wp14:anchorId="45D3D4C1" wp14:editId="6A95CAA0">
            <wp:extent cx="5582783" cy="28479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 t="7761" r="579" b="2073"/>
                    <a:stretch/>
                  </pic:blipFill>
                  <pic:spPr bwMode="auto">
                    <a:xfrm>
                      <a:off x="0" y="0"/>
                      <a:ext cx="5630100" cy="2872113"/>
                    </a:xfrm>
                    <a:prstGeom prst="rect">
                      <a:avLst/>
                    </a:prstGeom>
                    <a:ln>
                      <a:noFill/>
                    </a:ln>
                    <a:extLst>
                      <a:ext uri="{53640926-AAD7-44D8-BBD7-CCE9431645EC}">
                        <a14:shadowObscured xmlns:a14="http://schemas.microsoft.com/office/drawing/2010/main"/>
                      </a:ext>
                    </a:extLst>
                  </pic:spPr>
                </pic:pic>
              </a:graphicData>
            </a:graphic>
          </wp:inline>
        </w:drawing>
      </w:r>
    </w:p>
    <w:p w14:paraId="6467A8DD" w14:textId="77777777" w:rsidR="00A34550" w:rsidRPr="00257744" w:rsidRDefault="00A34550" w:rsidP="00A34550">
      <w:pPr>
        <w:rPr>
          <w:rFonts w:asciiTheme="minorHAnsi" w:hAnsiTheme="minorHAnsi"/>
          <w:sz w:val="24"/>
          <w:szCs w:val="24"/>
        </w:rPr>
      </w:pPr>
    </w:p>
    <w:tbl>
      <w:tblPr>
        <w:tblStyle w:val="TableGrid"/>
        <w:tblW w:w="0" w:type="auto"/>
        <w:tblBorders>
          <w:top w:val="single" w:sz="6" w:space="0" w:color="948A54" w:themeColor="background2" w:themeShade="80"/>
          <w:left w:val="single" w:sz="6" w:space="0" w:color="948A54" w:themeColor="background2" w:themeShade="80"/>
          <w:bottom w:val="single" w:sz="6" w:space="0" w:color="948A54" w:themeColor="background2" w:themeShade="80"/>
          <w:right w:val="single" w:sz="6" w:space="0" w:color="948A54" w:themeColor="background2" w:themeShade="80"/>
          <w:insideH w:val="single" w:sz="6" w:space="0" w:color="948A54" w:themeColor="background2" w:themeShade="80"/>
          <w:insideV w:val="single" w:sz="6" w:space="0" w:color="948A54" w:themeColor="background2" w:themeShade="80"/>
        </w:tblBorders>
        <w:tblLook w:val="04A0" w:firstRow="1" w:lastRow="0" w:firstColumn="1" w:lastColumn="0" w:noHBand="0" w:noVBand="1"/>
      </w:tblPr>
      <w:tblGrid>
        <w:gridCol w:w="7886"/>
        <w:gridCol w:w="1680"/>
      </w:tblGrid>
      <w:tr w:rsidR="00A34550" w:rsidRPr="00582FB1" w14:paraId="7524CA61" w14:textId="77777777" w:rsidTr="00763503">
        <w:tc>
          <w:tcPr>
            <w:tcW w:w="8185" w:type="dxa"/>
            <w:vAlign w:val="center"/>
          </w:tcPr>
          <w:p w14:paraId="77C622F6" w14:textId="77777777" w:rsidR="00A34550" w:rsidRPr="00DF5CD4" w:rsidRDefault="00A34550" w:rsidP="00763503">
            <w:pPr>
              <w:rPr>
                <w:rFonts w:asciiTheme="minorHAnsi" w:hAnsiTheme="minorHAnsi"/>
                <w:sz w:val="24"/>
                <w:szCs w:val="24"/>
              </w:rPr>
            </w:pPr>
            <w:r w:rsidRPr="00DF5CD4">
              <w:rPr>
                <w:rFonts w:asciiTheme="minorHAnsi" w:hAnsiTheme="minorHAnsi"/>
                <w:b/>
                <w:bCs/>
                <w:sz w:val="24"/>
                <w:szCs w:val="24"/>
              </w:rPr>
              <w:t>Early Energy Tech Adopters</w:t>
            </w:r>
            <w:r w:rsidRPr="00DF5CD4">
              <w:rPr>
                <w:rFonts w:asciiTheme="minorHAnsi" w:hAnsiTheme="minorHAnsi"/>
                <w:b/>
                <w:bCs/>
                <w:sz w:val="24"/>
                <w:szCs w:val="24"/>
              </w:rPr>
              <w:tab/>
            </w:r>
            <w:r w:rsidRPr="00DF5CD4">
              <w:rPr>
                <w:rFonts w:asciiTheme="minorHAnsi" w:hAnsiTheme="minorHAnsi"/>
                <w:bCs/>
                <w:sz w:val="24"/>
                <w:szCs w:val="24"/>
              </w:rPr>
              <w:t>(</w:t>
            </w:r>
            <w:r w:rsidRPr="00DF5CD4">
              <w:rPr>
                <w:rFonts w:asciiTheme="minorHAnsi" w:hAnsiTheme="minorHAnsi"/>
                <w:sz w:val="24"/>
                <w:szCs w:val="24"/>
              </w:rPr>
              <w:t>Early movers in energy action)</w:t>
            </w:r>
          </w:p>
          <w:p w14:paraId="0738412A" w14:textId="77777777" w:rsidR="00A34550" w:rsidRPr="00841DFE" w:rsidRDefault="00A34550" w:rsidP="00763503">
            <w:pPr>
              <w:rPr>
                <w:rFonts w:asciiTheme="minorHAnsi" w:hAnsiTheme="minorHAnsi"/>
                <w:sz w:val="24"/>
                <w:szCs w:val="24"/>
              </w:rPr>
            </w:pPr>
            <w:r w:rsidRPr="00841DFE">
              <w:rPr>
                <w:rFonts w:asciiTheme="minorHAnsi" w:hAnsiTheme="minorHAnsi"/>
                <w:sz w:val="24"/>
                <w:szCs w:val="24"/>
              </w:rPr>
              <w:t>Criteria: Has Energy Smart upgrades, PV on the roof</w:t>
            </w:r>
          </w:p>
        </w:tc>
        <w:tc>
          <w:tcPr>
            <w:tcW w:w="1720" w:type="dxa"/>
            <w:vAlign w:val="center"/>
          </w:tcPr>
          <w:p w14:paraId="14289D3C" w14:textId="77777777" w:rsidR="00A34550" w:rsidRPr="00841DFE" w:rsidRDefault="00A34550" w:rsidP="00763503">
            <w:pPr>
              <w:jc w:val="center"/>
              <w:rPr>
                <w:rFonts w:asciiTheme="minorHAnsi" w:hAnsiTheme="minorHAnsi"/>
                <w:b/>
                <w:bCs/>
                <w:sz w:val="24"/>
                <w:szCs w:val="24"/>
              </w:rPr>
            </w:pPr>
            <w:r w:rsidRPr="00841DFE">
              <w:rPr>
                <w:rFonts w:asciiTheme="minorHAnsi" w:hAnsiTheme="minorHAnsi"/>
                <w:b/>
                <w:bCs/>
                <w:sz w:val="24"/>
                <w:szCs w:val="24"/>
              </w:rPr>
              <w:t>304 homes</w:t>
            </w:r>
          </w:p>
        </w:tc>
      </w:tr>
      <w:tr w:rsidR="00A34550" w:rsidRPr="00582FB1" w14:paraId="055DD613" w14:textId="77777777" w:rsidTr="00763503">
        <w:tc>
          <w:tcPr>
            <w:tcW w:w="8185" w:type="dxa"/>
            <w:vAlign w:val="center"/>
          </w:tcPr>
          <w:p w14:paraId="1F74E54C" w14:textId="77777777" w:rsidR="00A34550" w:rsidRPr="00582FB1" w:rsidRDefault="00A34550" w:rsidP="00763503">
            <w:pPr>
              <w:rPr>
                <w:rFonts w:asciiTheme="minorHAnsi" w:hAnsiTheme="minorHAnsi"/>
                <w:sz w:val="24"/>
                <w:szCs w:val="24"/>
              </w:rPr>
            </w:pPr>
            <w:r w:rsidRPr="00582FB1">
              <w:rPr>
                <w:rFonts w:asciiTheme="minorHAnsi" w:hAnsiTheme="minorHAnsi"/>
                <w:b/>
                <w:bCs/>
                <w:sz w:val="24"/>
                <w:szCs w:val="24"/>
              </w:rPr>
              <w:t>Overheating Small Ranchers</w:t>
            </w:r>
            <w:r w:rsidRPr="00582FB1">
              <w:rPr>
                <w:rFonts w:asciiTheme="minorHAnsi" w:hAnsiTheme="minorHAnsi"/>
                <w:b/>
                <w:bCs/>
                <w:sz w:val="24"/>
                <w:szCs w:val="24"/>
              </w:rPr>
              <w:tab/>
              <w:t xml:space="preserve"> </w:t>
            </w:r>
            <w:r w:rsidRPr="00582FB1">
              <w:rPr>
                <w:rFonts w:asciiTheme="minorHAnsi" w:hAnsiTheme="minorHAnsi"/>
                <w:bCs/>
                <w:sz w:val="24"/>
                <w:szCs w:val="24"/>
              </w:rPr>
              <w:t>(</w:t>
            </w:r>
            <w:r w:rsidRPr="00582FB1">
              <w:rPr>
                <w:rFonts w:asciiTheme="minorHAnsi" w:hAnsiTheme="minorHAnsi"/>
                <w:sz w:val="24"/>
                <w:szCs w:val="24"/>
              </w:rPr>
              <w:t>Small ranch houses built in the 60s-70s without AC)</w:t>
            </w:r>
          </w:p>
          <w:p w14:paraId="628D6A67" w14:textId="77777777" w:rsidR="00A34550" w:rsidRPr="00582FB1" w:rsidRDefault="00A34550" w:rsidP="00763503">
            <w:pPr>
              <w:rPr>
                <w:rFonts w:asciiTheme="minorHAnsi" w:hAnsiTheme="minorHAnsi"/>
                <w:b/>
                <w:bCs/>
                <w:sz w:val="24"/>
                <w:szCs w:val="24"/>
              </w:rPr>
            </w:pPr>
            <w:r w:rsidRPr="00582FB1">
              <w:rPr>
                <w:rFonts w:asciiTheme="minorHAnsi" w:hAnsiTheme="minorHAnsi"/>
                <w:sz w:val="24"/>
                <w:szCs w:val="24"/>
              </w:rPr>
              <w:t xml:space="preserve">Criteria: Likely lacks AC, home under 2,500 </w:t>
            </w:r>
            <w:proofErr w:type="spellStart"/>
            <w:r w:rsidRPr="00582FB1">
              <w:rPr>
                <w:rFonts w:asciiTheme="minorHAnsi" w:hAnsiTheme="minorHAnsi"/>
                <w:sz w:val="24"/>
                <w:szCs w:val="24"/>
              </w:rPr>
              <w:t>sq</w:t>
            </w:r>
            <w:proofErr w:type="spellEnd"/>
            <w:r w:rsidRPr="00582FB1">
              <w:rPr>
                <w:rFonts w:asciiTheme="minorHAnsi" w:hAnsiTheme="minorHAnsi"/>
                <w:sz w:val="24"/>
                <w:szCs w:val="24"/>
              </w:rPr>
              <w:t xml:space="preserve"> </w:t>
            </w:r>
            <w:proofErr w:type="spellStart"/>
            <w:r w:rsidRPr="00582FB1">
              <w:rPr>
                <w:rFonts w:asciiTheme="minorHAnsi" w:hAnsiTheme="minorHAnsi"/>
                <w:sz w:val="24"/>
                <w:szCs w:val="24"/>
              </w:rPr>
              <w:t>ft</w:t>
            </w:r>
            <w:proofErr w:type="spellEnd"/>
            <w:r w:rsidRPr="00582FB1">
              <w:rPr>
                <w:rFonts w:asciiTheme="minorHAnsi" w:hAnsiTheme="minorHAnsi"/>
                <w:sz w:val="24"/>
                <w:szCs w:val="24"/>
              </w:rPr>
              <w:t>, built in 1960s-1970s, owner-occupied</w:t>
            </w:r>
          </w:p>
        </w:tc>
        <w:tc>
          <w:tcPr>
            <w:tcW w:w="1720" w:type="dxa"/>
            <w:vAlign w:val="center"/>
          </w:tcPr>
          <w:p w14:paraId="6637CA6E"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t>3,309 homes</w:t>
            </w:r>
          </w:p>
        </w:tc>
      </w:tr>
      <w:tr w:rsidR="00A34550" w:rsidRPr="00582FB1" w14:paraId="44C19902" w14:textId="77777777" w:rsidTr="00763503">
        <w:tc>
          <w:tcPr>
            <w:tcW w:w="8185" w:type="dxa"/>
            <w:vAlign w:val="center"/>
          </w:tcPr>
          <w:p w14:paraId="7BEA50E5" w14:textId="77777777" w:rsidR="00A34550" w:rsidRPr="00582FB1" w:rsidRDefault="00A34550" w:rsidP="00763503">
            <w:pPr>
              <w:rPr>
                <w:rFonts w:asciiTheme="minorHAnsi" w:hAnsiTheme="minorHAnsi"/>
                <w:sz w:val="24"/>
                <w:szCs w:val="24"/>
              </w:rPr>
            </w:pPr>
            <w:r w:rsidRPr="00582FB1">
              <w:rPr>
                <w:rFonts w:asciiTheme="minorHAnsi" w:hAnsiTheme="minorHAnsi"/>
                <w:b/>
                <w:bCs/>
                <w:sz w:val="24"/>
                <w:szCs w:val="24"/>
              </w:rPr>
              <w:t xml:space="preserve">Well-To-Do Progressives </w:t>
            </w:r>
            <w:r w:rsidRPr="00582FB1">
              <w:rPr>
                <w:rFonts w:asciiTheme="minorHAnsi" w:hAnsiTheme="minorHAnsi"/>
                <w:bCs/>
                <w:sz w:val="24"/>
                <w:szCs w:val="24"/>
              </w:rPr>
              <w:t>(</w:t>
            </w:r>
            <w:r w:rsidRPr="00582FB1">
              <w:rPr>
                <w:rFonts w:asciiTheme="minorHAnsi" w:hAnsiTheme="minorHAnsi"/>
                <w:sz w:val="24"/>
                <w:szCs w:val="24"/>
              </w:rPr>
              <w:t>Have spare capital, replacing equipment)</w:t>
            </w:r>
          </w:p>
          <w:p w14:paraId="672E51A8" w14:textId="77777777" w:rsidR="00A34550" w:rsidRPr="00582FB1" w:rsidRDefault="00A34550" w:rsidP="00763503">
            <w:pPr>
              <w:rPr>
                <w:rFonts w:asciiTheme="minorHAnsi" w:hAnsiTheme="minorHAnsi"/>
                <w:sz w:val="24"/>
                <w:szCs w:val="24"/>
              </w:rPr>
            </w:pPr>
            <w:r w:rsidRPr="00582FB1">
              <w:rPr>
                <w:rFonts w:asciiTheme="minorHAnsi" w:hAnsiTheme="minorHAnsi"/>
                <w:sz w:val="24"/>
                <w:szCs w:val="24"/>
              </w:rPr>
              <w:t>Criteria: In need of replacing AC or furnace in next five years, within census block where median income is greater than $81,000</w:t>
            </w:r>
          </w:p>
        </w:tc>
        <w:tc>
          <w:tcPr>
            <w:tcW w:w="1720" w:type="dxa"/>
            <w:vAlign w:val="center"/>
          </w:tcPr>
          <w:p w14:paraId="76FF8C98"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t>11,047 homes</w:t>
            </w:r>
          </w:p>
        </w:tc>
      </w:tr>
      <w:tr w:rsidR="00A34550" w:rsidRPr="00582FB1" w14:paraId="55563DA7" w14:textId="77777777" w:rsidTr="00763503">
        <w:tc>
          <w:tcPr>
            <w:tcW w:w="8185" w:type="dxa"/>
            <w:vAlign w:val="center"/>
          </w:tcPr>
          <w:p w14:paraId="5217A9E2" w14:textId="77777777" w:rsidR="00A34550" w:rsidRPr="00582FB1" w:rsidRDefault="00A34550" w:rsidP="00763503">
            <w:pPr>
              <w:rPr>
                <w:rFonts w:asciiTheme="minorHAnsi" w:hAnsiTheme="minorHAnsi"/>
                <w:b/>
                <w:bCs/>
                <w:sz w:val="24"/>
                <w:szCs w:val="24"/>
              </w:rPr>
            </w:pPr>
            <w:proofErr w:type="spellStart"/>
            <w:r w:rsidRPr="00582FB1">
              <w:rPr>
                <w:rFonts w:asciiTheme="minorHAnsi" w:hAnsiTheme="minorHAnsi"/>
                <w:b/>
                <w:bCs/>
                <w:sz w:val="24"/>
                <w:szCs w:val="24"/>
              </w:rPr>
              <w:t>Cashflow</w:t>
            </w:r>
            <w:proofErr w:type="spellEnd"/>
            <w:r w:rsidRPr="00582FB1">
              <w:rPr>
                <w:rFonts w:asciiTheme="minorHAnsi" w:hAnsiTheme="minorHAnsi"/>
                <w:b/>
                <w:bCs/>
                <w:sz w:val="24"/>
                <w:szCs w:val="24"/>
              </w:rPr>
              <w:t xml:space="preserve"> Positive</w:t>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p>
          <w:p w14:paraId="70DD19DE" w14:textId="77777777" w:rsidR="00A34550" w:rsidRPr="00582FB1" w:rsidRDefault="00A34550" w:rsidP="00763503">
            <w:pPr>
              <w:rPr>
                <w:rFonts w:asciiTheme="minorHAnsi" w:hAnsiTheme="minorHAnsi"/>
                <w:sz w:val="24"/>
                <w:szCs w:val="24"/>
              </w:rPr>
            </w:pPr>
            <w:r w:rsidRPr="00582FB1">
              <w:rPr>
                <w:rFonts w:asciiTheme="minorHAnsi" w:hAnsiTheme="minorHAnsi"/>
                <w:sz w:val="24"/>
                <w:szCs w:val="24"/>
              </w:rPr>
              <w:t xml:space="preserve">Criteria: Identified in Radiant Labs to be </w:t>
            </w:r>
            <w:proofErr w:type="spellStart"/>
            <w:r w:rsidRPr="00582FB1">
              <w:rPr>
                <w:rFonts w:asciiTheme="minorHAnsi" w:hAnsiTheme="minorHAnsi"/>
                <w:sz w:val="24"/>
                <w:szCs w:val="24"/>
              </w:rPr>
              <w:t>cashflow</w:t>
            </w:r>
            <w:proofErr w:type="spellEnd"/>
            <w:r w:rsidRPr="00582FB1">
              <w:rPr>
                <w:rFonts w:asciiTheme="minorHAnsi" w:hAnsiTheme="minorHAnsi"/>
                <w:sz w:val="24"/>
                <w:szCs w:val="24"/>
              </w:rPr>
              <w:t xml:space="preserve"> positive with efficiency upgrades and full net-zero PV</w:t>
            </w:r>
          </w:p>
        </w:tc>
        <w:tc>
          <w:tcPr>
            <w:tcW w:w="1720" w:type="dxa"/>
            <w:vAlign w:val="center"/>
          </w:tcPr>
          <w:p w14:paraId="6D364086"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t>604 homes</w:t>
            </w:r>
          </w:p>
        </w:tc>
      </w:tr>
      <w:tr w:rsidR="00A34550" w:rsidRPr="00582FB1" w14:paraId="41BE0D05" w14:textId="77777777" w:rsidTr="00763503">
        <w:tc>
          <w:tcPr>
            <w:tcW w:w="8185" w:type="dxa"/>
            <w:vAlign w:val="center"/>
          </w:tcPr>
          <w:p w14:paraId="68881BF0" w14:textId="77777777" w:rsidR="00A34550" w:rsidRPr="00582FB1" w:rsidRDefault="00A34550" w:rsidP="00763503">
            <w:pPr>
              <w:rPr>
                <w:rFonts w:asciiTheme="minorHAnsi" w:hAnsiTheme="minorHAnsi"/>
                <w:sz w:val="24"/>
                <w:szCs w:val="24"/>
              </w:rPr>
            </w:pPr>
            <w:r w:rsidRPr="00582FB1">
              <w:rPr>
                <w:rFonts w:asciiTheme="minorHAnsi" w:hAnsiTheme="minorHAnsi"/>
                <w:b/>
                <w:bCs/>
                <w:sz w:val="24"/>
                <w:szCs w:val="24"/>
              </w:rPr>
              <w:t xml:space="preserve">Thrifty “Greens” </w:t>
            </w:r>
            <w:r w:rsidRPr="00582FB1">
              <w:rPr>
                <w:rFonts w:asciiTheme="minorHAnsi" w:hAnsiTheme="minorHAnsi"/>
                <w:bCs/>
                <w:sz w:val="24"/>
                <w:szCs w:val="24"/>
              </w:rPr>
              <w:t>(</w:t>
            </w:r>
            <w:r w:rsidRPr="00582FB1">
              <w:rPr>
                <w:rFonts w:asciiTheme="minorHAnsi" w:hAnsiTheme="minorHAnsi"/>
                <w:sz w:val="24"/>
                <w:szCs w:val="24"/>
              </w:rPr>
              <w:t>Price conscious environmentalists with a broken AC unit)</w:t>
            </w:r>
          </w:p>
          <w:p w14:paraId="48A4B216" w14:textId="77777777" w:rsidR="00A34550" w:rsidRPr="00582FB1" w:rsidRDefault="00A34550" w:rsidP="00763503">
            <w:pPr>
              <w:rPr>
                <w:rFonts w:asciiTheme="minorHAnsi" w:hAnsiTheme="minorHAnsi"/>
                <w:b/>
                <w:bCs/>
                <w:sz w:val="24"/>
                <w:szCs w:val="24"/>
              </w:rPr>
            </w:pPr>
            <w:r w:rsidRPr="00582FB1">
              <w:rPr>
                <w:rFonts w:asciiTheme="minorHAnsi" w:hAnsiTheme="minorHAnsi"/>
                <w:sz w:val="24"/>
                <w:szCs w:val="24"/>
              </w:rPr>
              <w:t>Criteria: Has Energy Smart upgrades, in need of replacing AC or furnace in next five years</w:t>
            </w:r>
          </w:p>
        </w:tc>
        <w:tc>
          <w:tcPr>
            <w:tcW w:w="1720" w:type="dxa"/>
            <w:vAlign w:val="center"/>
          </w:tcPr>
          <w:p w14:paraId="7150BF0B"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t>1,691 homes</w:t>
            </w:r>
          </w:p>
        </w:tc>
      </w:tr>
      <w:tr w:rsidR="00A34550" w:rsidRPr="00582FB1" w14:paraId="22B0DE90" w14:textId="77777777" w:rsidTr="00763503">
        <w:tc>
          <w:tcPr>
            <w:tcW w:w="8185" w:type="dxa"/>
            <w:vAlign w:val="center"/>
          </w:tcPr>
          <w:p w14:paraId="330654C1" w14:textId="77777777" w:rsidR="00A34550" w:rsidRPr="00582FB1" w:rsidRDefault="00A34550" w:rsidP="00763503">
            <w:pPr>
              <w:rPr>
                <w:rFonts w:asciiTheme="minorHAnsi" w:hAnsiTheme="minorHAnsi"/>
                <w:b/>
                <w:bCs/>
                <w:sz w:val="24"/>
                <w:szCs w:val="24"/>
              </w:rPr>
            </w:pPr>
            <w:r w:rsidRPr="00582FB1">
              <w:rPr>
                <w:rFonts w:asciiTheme="minorHAnsi" w:hAnsiTheme="minorHAnsi"/>
                <w:b/>
                <w:bCs/>
                <w:sz w:val="24"/>
                <w:szCs w:val="24"/>
              </w:rPr>
              <w:t>Landlords with Small Units</w:t>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p>
          <w:p w14:paraId="14EE4516" w14:textId="77777777" w:rsidR="00A34550" w:rsidRPr="00582FB1" w:rsidRDefault="00A34550" w:rsidP="00763503">
            <w:pPr>
              <w:rPr>
                <w:rFonts w:asciiTheme="minorHAnsi" w:hAnsiTheme="minorHAnsi"/>
                <w:sz w:val="24"/>
                <w:szCs w:val="24"/>
              </w:rPr>
            </w:pPr>
            <w:r w:rsidRPr="00582FB1">
              <w:rPr>
                <w:rFonts w:asciiTheme="minorHAnsi" w:hAnsiTheme="minorHAnsi"/>
                <w:sz w:val="24"/>
                <w:szCs w:val="24"/>
              </w:rPr>
              <w:t>Criteria: Home under 2,500 sq. ft., standard rental classification</w:t>
            </w:r>
          </w:p>
        </w:tc>
        <w:tc>
          <w:tcPr>
            <w:tcW w:w="1720" w:type="dxa"/>
            <w:vAlign w:val="center"/>
          </w:tcPr>
          <w:p w14:paraId="13DD0FB9"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t>2,461 homes</w:t>
            </w:r>
          </w:p>
        </w:tc>
      </w:tr>
      <w:tr w:rsidR="00A34550" w:rsidRPr="00582FB1" w14:paraId="6EB376C6" w14:textId="77777777" w:rsidTr="00763503">
        <w:tc>
          <w:tcPr>
            <w:tcW w:w="8185" w:type="dxa"/>
            <w:vAlign w:val="center"/>
          </w:tcPr>
          <w:p w14:paraId="7656F02F" w14:textId="77777777" w:rsidR="00A34550" w:rsidRPr="00582FB1" w:rsidRDefault="00A34550" w:rsidP="00763503">
            <w:pPr>
              <w:rPr>
                <w:rFonts w:asciiTheme="minorHAnsi" w:hAnsiTheme="minorHAnsi"/>
                <w:b/>
                <w:bCs/>
                <w:sz w:val="24"/>
                <w:szCs w:val="24"/>
              </w:rPr>
            </w:pPr>
            <w:proofErr w:type="spellStart"/>
            <w:r w:rsidRPr="00582FB1">
              <w:rPr>
                <w:rFonts w:asciiTheme="minorHAnsi" w:hAnsiTheme="minorHAnsi"/>
                <w:b/>
                <w:bCs/>
                <w:sz w:val="24"/>
                <w:szCs w:val="24"/>
              </w:rPr>
              <w:t>AirBnB</w:t>
            </w:r>
            <w:proofErr w:type="spellEnd"/>
            <w:r w:rsidRPr="00582FB1">
              <w:rPr>
                <w:rFonts w:asciiTheme="minorHAnsi" w:hAnsiTheme="minorHAnsi"/>
                <w:b/>
                <w:bCs/>
                <w:sz w:val="24"/>
                <w:szCs w:val="24"/>
              </w:rPr>
              <w:t xml:space="preserve"> Requiring Air Conditioning</w:t>
            </w:r>
            <w:r w:rsidRPr="00582FB1">
              <w:rPr>
                <w:rFonts w:asciiTheme="minorHAnsi" w:hAnsiTheme="minorHAnsi"/>
                <w:b/>
                <w:bCs/>
                <w:sz w:val="24"/>
                <w:szCs w:val="24"/>
              </w:rPr>
              <w:tab/>
            </w:r>
            <w:r w:rsidRPr="00582FB1">
              <w:rPr>
                <w:rFonts w:asciiTheme="minorHAnsi" w:hAnsiTheme="minorHAnsi"/>
                <w:b/>
                <w:bCs/>
                <w:sz w:val="24"/>
                <w:szCs w:val="24"/>
              </w:rPr>
              <w:tab/>
            </w:r>
            <w:r w:rsidRPr="00582FB1">
              <w:rPr>
                <w:rFonts w:asciiTheme="minorHAnsi" w:hAnsiTheme="minorHAnsi"/>
                <w:b/>
                <w:bCs/>
                <w:sz w:val="24"/>
                <w:szCs w:val="24"/>
              </w:rPr>
              <w:tab/>
            </w:r>
          </w:p>
          <w:p w14:paraId="00492BEC" w14:textId="77777777" w:rsidR="00A34550" w:rsidRPr="00582FB1" w:rsidRDefault="00A34550" w:rsidP="00763503">
            <w:pPr>
              <w:rPr>
                <w:rFonts w:asciiTheme="minorHAnsi" w:hAnsiTheme="minorHAnsi"/>
                <w:b/>
                <w:bCs/>
                <w:sz w:val="24"/>
                <w:szCs w:val="24"/>
              </w:rPr>
            </w:pPr>
            <w:r w:rsidRPr="00582FB1">
              <w:rPr>
                <w:rFonts w:asciiTheme="minorHAnsi" w:hAnsiTheme="minorHAnsi"/>
                <w:sz w:val="24"/>
                <w:szCs w:val="24"/>
              </w:rPr>
              <w:lastRenderedPageBreak/>
              <w:t>Criteria: Likely lacks AC, in need of replacing AC or furnace in next five years, short-term rental classification</w:t>
            </w:r>
          </w:p>
        </w:tc>
        <w:tc>
          <w:tcPr>
            <w:tcW w:w="1720" w:type="dxa"/>
            <w:vAlign w:val="center"/>
          </w:tcPr>
          <w:p w14:paraId="12269F21" w14:textId="77777777" w:rsidR="00A34550" w:rsidRPr="00582FB1" w:rsidRDefault="00A34550" w:rsidP="00763503">
            <w:pPr>
              <w:jc w:val="center"/>
              <w:rPr>
                <w:rFonts w:asciiTheme="minorHAnsi" w:hAnsiTheme="minorHAnsi"/>
                <w:b/>
                <w:bCs/>
                <w:sz w:val="24"/>
                <w:szCs w:val="24"/>
              </w:rPr>
            </w:pPr>
            <w:r w:rsidRPr="00582FB1">
              <w:rPr>
                <w:rFonts w:asciiTheme="minorHAnsi" w:hAnsiTheme="minorHAnsi"/>
                <w:b/>
                <w:bCs/>
                <w:sz w:val="24"/>
                <w:szCs w:val="24"/>
              </w:rPr>
              <w:lastRenderedPageBreak/>
              <w:t>369 homes</w:t>
            </w:r>
          </w:p>
        </w:tc>
      </w:tr>
    </w:tbl>
    <w:p w14:paraId="75E08491" w14:textId="77777777" w:rsidR="00A34550" w:rsidRPr="00582FB1" w:rsidRDefault="00A34550" w:rsidP="00A34550">
      <w:pPr>
        <w:pStyle w:val="BodyText"/>
        <w:rPr>
          <w:rFonts w:asciiTheme="minorHAnsi" w:hAnsiTheme="minorHAnsi"/>
          <w:sz w:val="24"/>
          <w:szCs w:val="24"/>
        </w:rPr>
      </w:pPr>
    </w:p>
    <w:p w14:paraId="414A9DA5" w14:textId="77777777" w:rsidR="00A34550" w:rsidRPr="00582FB1" w:rsidRDefault="00312DEF" w:rsidP="00A34550">
      <w:pPr>
        <w:pStyle w:val="Heading3"/>
        <w:numPr>
          <w:ilvl w:val="0"/>
          <w:numId w:val="0"/>
        </w:numPr>
        <w:spacing w:before="40" w:after="140" w:line="280" w:lineRule="atLeast"/>
        <w:ind w:left="907" w:hanging="907"/>
        <w:rPr>
          <w:rFonts w:asciiTheme="minorHAnsi" w:hAnsiTheme="minorHAnsi"/>
          <w:b/>
          <w:sz w:val="24"/>
          <w:szCs w:val="24"/>
        </w:rPr>
      </w:pPr>
      <w:r>
        <w:rPr>
          <w:rFonts w:asciiTheme="minorHAnsi" w:hAnsiTheme="minorHAnsi"/>
          <w:b/>
          <w:sz w:val="24"/>
          <w:szCs w:val="24"/>
        </w:rPr>
        <w:t xml:space="preserve">3. </w:t>
      </w:r>
      <w:r w:rsidR="00A34550" w:rsidRPr="00582FB1">
        <w:rPr>
          <w:rFonts w:asciiTheme="minorHAnsi" w:hAnsiTheme="minorHAnsi"/>
          <w:b/>
          <w:sz w:val="24"/>
          <w:szCs w:val="24"/>
        </w:rPr>
        <w:t>Iterative targeting refinement</w:t>
      </w:r>
    </w:p>
    <w:p w14:paraId="668E9D3A" w14:textId="77777777" w:rsidR="00A34550" w:rsidRPr="00582FB1" w:rsidRDefault="00A34550" w:rsidP="00A34550">
      <w:pPr>
        <w:pStyle w:val="BodyText"/>
        <w:rPr>
          <w:rFonts w:asciiTheme="minorHAnsi" w:hAnsiTheme="minorHAnsi"/>
          <w:sz w:val="24"/>
          <w:szCs w:val="24"/>
        </w:rPr>
      </w:pPr>
      <w:r w:rsidRPr="00582FB1">
        <w:rPr>
          <w:rFonts w:asciiTheme="minorHAnsi" w:hAnsiTheme="minorHAnsi"/>
          <w:sz w:val="24"/>
          <w:szCs w:val="24"/>
        </w:rPr>
        <w:t>Radiant Labs also has an iterative adoption and refinement approach that helps an efficiency program regularly course correct. This process requires three major steps:</w:t>
      </w:r>
    </w:p>
    <w:p w14:paraId="0832B58E" w14:textId="77777777" w:rsidR="00A34550" w:rsidRPr="00582FB1" w:rsidRDefault="00A34550" w:rsidP="00A34550">
      <w:pPr>
        <w:pStyle w:val="BodyText"/>
        <w:numPr>
          <w:ilvl w:val="0"/>
          <w:numId w:val="22"/>
        </w:numPr>
        <w:rPr>
          <w:rFonts w:asciiTheme="minorHAnsi" w:hAnsiTheme="minorHAnsi"/>
          <w:b/>
          <w:sz w:val="24"/>
          <w:szCs w:val="24"/>
        </w:rPr>
      </w:pPr>
      <w:r w:rsidRPr="00582FB1">
        <w:rPr>
          <w:rFonts w:asciiTheme="minorHAnsi" w:hAnsiTheme="minorHAnsi"/>
          <w:b/>
          <w:sz w:val="24"/>
          <w:szCs w:val="24"/>
        </w:rPr>
        <w:t>Define a Cohort:</w:t>
      </w:r>
    </w:p>
    <w:p w14:paraId="1C6BC940" w14:textId="77777777" w:rsidR="00A34550" w:rsidRPr="00582FB1" w:rsidRDefault="00A34550" w:rsidP="00A34550">
      <w:pPr>
        <w:pStyle w:val="BodyText"/>
        <w:rPr>
          <w:rFonts w:asciiTheme="minorHAnsi" w:hAnsiTheme="minorHAnsi"/>
          <w:sz w:val="24"/>
          <w:szCs w:val="24"/>
        </w:rPr>
      </w:pPr>
      <w:r w:rsidRPr="00582FB1">
        <w:rPr>
          <w:rFonts w:asciiTheme="minorHAnsi" w:hAnsiTheme="minorHAnsi"/>
          <w:sz w:val="24"/>
          <w:szCs w:val="24"/>
        </w:rPr>
        <w:t>Select a group of homes with common characteristics using the predefined archetype filters or any combination of filters that you plan to track over time, such as the archetypes named above. When that group of homes is ready to be tracked, save the chosen set of filters as a cohort. That will assign each home within the group a cohort ID, which will allow each house to be tracked over time as well as the aggregate performance of the entire cohort. The cohort characteristics will allow outreach and messaging to be tailored to the home. Then the entire cohort can be downloaded in CSV format</w:t>
      </w:r>
      <w:bookmarkStart w:id="9" w:name="_Ref496603869"/>
      <w:r w:rsidRPr="00582FB1">
        <w:rPr>
          <w:rFonts w:asciiTheme="minorHAnsi" w:hAnsiTheme="minorHAnsi"/>
          <w:sz w:val="24"/>
          <w:szCs w:val="24"/>
        </w:rPr>
        <w:t xml:space="preserve">, showing permit number, assessors number, owner name, address, description of the work, and category. </w:t>
      </w:r>
      <w:bookmarkEnd w:id="9"/>
    </w:p>
    <w:p w14:paraId="6E146CB8" w14:textId="77777777" w:rsidR="00A34550" w:rsidRPr="000B11E8" w:rsidRDefault="00A34550" w:rsidP="00A34550">
      <w:pPr>
        <w:pStyle w:val="BodyText"/>
        <w:numPr>
          <w:ilvl w:val="0"/>
          <w:numId w:val="22"/>
        </w:numPr>
        <w:rPr>
          <w:rFonts w:asciiTheme="minorHAnsi" w:hAnsiTheme="minorHAnsi"/>
          <w:b/>
          <w:sz w:val="24"/>
          <w:szCs w:val="24"/>
        </w:rPr>
      </w:pPr>
      <w:r w:rsidRPr="000B11E8">
        <w:rPr>
          <w:rFonts w:asciiTheme="minorHAnsi" w:hAnsiTheme="minorHAnsi"/>
          <w:b/>
          <w:sz w:val="24"/>
          <w:szCs w:val="24"/>
        </w:rPr>
        <w:t>Track home progress:</w:t>
      </w:r>
    </w:p>
    <w:p w14:paraId="209BD232" w14:textId="77777777" w:rsidR="00A34550" w:rsidRPr="00582FB1" w:rsidRDefault="00A34550" w:rsidP="00A34550">
      <w:pPr>
        <w:pStyle w:val="BodyText"/>
        <w:rPr>
          <w:rFonts w:asciiTheme="minorHAnsi" w:hAnsiTheme="minorHAnsi"/>
          <w:sz w:val="24"/>
          <w:szCs w:val="24"/>
        </w:rPr>
      </w:pPr>
      <w:r w:rsidRPr="00582FB1">
        <w:rPr>
          <w:rFonts w:asciiTheme="minorHAnsi" w:hAnsiTheme="minorHAnsi"/>
          <w:sz w:val="24"/>
          <w:szCs w:val="24"/>
        </w:rPr>
        <w:t>In Colorado, all energy audits performed through Xcel Energy’s subsidized audit program utiliz</w:t>
      </w:r>
      <w:r w:rsidR="0003078A">
        <w:rPr>
          <w:rFonts w:asciiTheme="minorHAnsi" w:hAnsiTheme="minorHAnsi"/>
          <w:sz w:val="24"/>
          <w:szCs w:val="24"/>
        </w:rPr>
        <w:t>e</w:t>
      </w:r>
      <w:r w:rsidRPr="00582FB1">
        <w:rPr>
          <w:rFonts w:asciiTheme="minorHAnsi" w:hAnsiTheme="minorHAnsi"/>
          <w:sz w:val="24"/>
          <w:szCs w:val="24"/>
        </w:rPr>
        <w:t xml:space="preserve"> </w:t>
      </w:r>
      <w:proofErr w:type="spellStart"/>
      <w:r w:rsidRPr="00582FB1">
        <w:rPr>
          <w:rFonts w:asciiTheme="minorHAnsi" w:hAnsiTheme="minorHAnsi"/>
          <w:sz w:val="24"/>
          <w:szCs w:val="24"/>
        </w:rPr>
        <w:t>Snugg</w:t>
      </w:r>
      <w:proofErr w:type="spellEnd"/>
      <w:r w:rsidRPr="00582FB1">
        <w:rPr>
          <w:rFonts w:asciiTheme="minorHAnsi" w:hAnsiTheme="minorHAnsi"/>
          <w:sz w:val="24"/>
          <w:szCs w:val="24"/>
        </w:rPr>
        <w:t xml:space="preserve"> Pro (energy auditing software developed by </w:t>
      </w:r>
      <w:proofErr w:type="spellStart"/>
      <w:r w:rsidRPr="00582FB1">
        <w:rPr>
          <w:rFonts w:asciiTheme="minorHAnsi" w:hAnsiTheme="minorHAnsi"/>
          <w:sz w:val="24"/>
          <w:szCs w:val="24"/>
        </w:rPr>
        <w:t>Snugg</w:t>
      </w:r>
      <w:proofErr w:type="spellEnd"/>
      <w:r w:rsidRPr="00582FB1">
        <w:rPr>
          <w:rFonts w:asciiTheme="minorHAnsi" w:hAnsiTheme="minorHAnsi"/>
          <w:sz w:val="24"/>
          <w:szCs w:val="24"/>
        </w:rPr>
        <w:t xml:space="preserve"> Home, a sister company to Radiant Labs) to capture data and perform energy modeling. Participating contractors will utilize </w:t>
      </w:r>
      <w:proofErr w:type="spellStart"/>
      <w:r w:rsidRPr="00582FB1">
        <w:rPr>
          <w:rFonts w:asciiTheme="minorHAnsi" w:hAnsiTheme="minorHAnsi"/>
          <w:sz w:val="24"/>
          <w:szCs w:val="24"/>
        </w:rPr>
        <w:t>Snugg</w:t>
      </w:r>
      <w:proofErr w:type="spellEnd"/>
      <w:r w:rsidRPr="00582FB1">
        <w:rPr>
          <w:rFonts w:asciiTheme="minorHAnsi" w:hAnsiTheme="minorHAnsi"/>
          <w:sz w:val="24"/>
          <w:szCs w:val="24"/>
        </w:rPr>
        <w:t xml:space="preserve"> Pro to perform the necessary energy modeling to calculate system sizes, PV production requirements, and calculate the energy savings from the proposed improvements. This data will be used to create the formal proposal in the </w:t>
      </w:r>
      <w:r w:rsidRPr="00582FB1">
        <w:rPr>
          <w:rFonts w:asciiTheme="minorHAnsi" w:hAnsiTheme="minorHAnsi"/>
          <w:b/>
          <w:sz w:val="24"/>
          <w:szCs w:val="24"/>
        </w:rPr>
        <w:t>homeowner roadmap tool</w:t>
      </w:r>
      <w:r w:rsidR="006C3932">
        <w:rPr>
          <w:rFonts w:asciiTheme="minorHAnsi" w:hAnsiTheme="minorHAnsi"/>
          <w:b/>
          <w:sz w:val="24"/>
          <w:szCs w:val="24"/>
        </w:rPr>
        <w:t>,</w:t>
      </w:r>
      <w:r w:rsidRPr="00582FB1">
        <w:rPr>
          <w:rFonts w:asciiTheme="minorHAnsi" w:hAnsiTheme="minorHAnsi"/>
          <w:b/>
          <w:sz w:val="24"/>
          <w:szCs w:val="24"/>
        </w:rPr>
        <w:t xml:space="preserve"> </w:t>
      </w:r>
      <w:r w:rsidRPr="00582FB1">
        <w:rPr>
          <w:rFonts w:asciiTheme="minorHAnsi" w:hAnsiTheme="minorHAnsi"/>
          <w:sz w:val="24"/>
          <w:szCs w:val="24"/>
        </w:rPr>
        <w:t>which shows complete home energy transition step by step through options in 4 categories:  1. Energy Efficiency, 2. Electrification of Heating and Cooling, 3. Solar PV, 4. Electric Vehicle</w:t>
      </w:r>
      <w:r w:rsidR="006C3932">
        <w:rPr>
          <w:rFonts w:asciiTheme="minorHAnsi" w:hAnsiTheme="minorHAnsi"/>
          <w:sz w:val="24"/>
          <w:szCs w:val="24"/>
        </w:rPr>
        <w:t>.</w:t>
      </w:r>
      <w:r w:rsidRPr="00582FB1">
        <w:rPr>
          <w:rFonts w:asciiTheme="minorHAnsi" w:hAnsiTheme="minorHAnsi"/>
          <w:sz w:val="24"/>
          <w:szCs w:val="24"/>
        </w:rPr>
        <w:t xml:space="preserve"> </w:t>
      </w:r>
    </w:p>
    <w:p w14:paraId="14DB8BAD" w14:textId="77777777" w:rsidR="00A34550" w:rsidRPr="00582FB1" w:rsidRDefault="00A34550" w:rsidP="00A34550">
      <w:pPr>
        <w:pStyle w:val="BodyText"/>
        <w:rPr>
          <w:rFonts w:asciiTheme="minorHAnsi" w:hAnsiTheme="minorHAnsi"/>
          <w:sz w:val="24"/>
          <w:szCs w:val="24"/>
        </w:rPr>
      </w:pPr>
      <w:r w:rsidRPr="00582FB1">
        <w:rPr>
          <w:rFonts w:asciiTheme="minorHAnsi" w:hAnsiTheme="minorHAnsi"/>
          <w:noProof/>
          <w:sz w:val="24"/>
          <w:szCs w:val="24"/>
          <w:lang w:eastAsia="en-US"/>
        </w:rPr>
        <w:drawing>
          <wp:inline distT="0" distB="0" distL="0" distR="0" wp14:anchorId="0F8B4627" wp14:editId="6D0EFA77">
            <wp:extent cx="6296025" cy="908050"/>
            <wp:effectExtent l="0" t="0" r="9525" b="6350"/>
            <wp:docPr id="249"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33"/>
                    <a:stretch>
                      <a:fillRect/>
                    </a:stretch>
                  </pic:blipFill>
                  <pic:spPr>
                    <a:xfrm>
                      <a:off x="0" y="0"/>
                      <a:ext cx="6296025" cy="908050"/>
                    </a:xfrm>
                    <a:prstGeom prst="rect">
                      <a:avLst/>
                    </a:prstGeom>
                  </pic:spPr>
                </pic:pic>
              </a:graphicData>
            </a:graphic>
          </wp:inline>
        </w:drawing>
      </w:r>
    </w:p>
    <w:p w14:paraId="458A3893" w14:textId="77777777" w:rsidR="00A34550" w:rsidRPr="00DF5CD4" w:rsidRDefault="00A34550" w:rsidP="00A34550">
      <w:pPr>
        <w:pStyle w:val="BodyText"/>
        <w:rPr>
          <w:rFonts w:asciiTheme="minorHAnsi" w:hAnsiTheme="minorHAnsi"/>
          <w:sz w:val="24"/>
          <w:szCs w:val="24"/>
        </w:rPr>
      </w:pPr>
      <w:r w:rsidRPr="00257744">
        <w:rPr>
          <w:rFonts w:asciiTheme="minorHAnsi" w:hAnsiTheme="minorHAnsi"/>
          <w:sz w:val="24"/>
          <w:szCs w:val="24"/>
        </w:rPr>
        <w:t xml:space="preserve">Once the work is completed, the actual improvements will be recorded by the contractor into </w:t>
      </w:r>
      <w:proofErr w:type="spellStart"/>
      <w:r w:rsidRPr="00257744">
        <w:rPr>
          <w:rFonts w:asciiTheme="minorHAnsi" w:hAnsiTheme="minorHAnsi"/>
          <w:sz w:val="24"/>
          <w:szCs w:val="24"/>
        </w:rPr>
        <w:t>Snugg</w:t>
      </w:r>
      <w:proofErr w:type="spellEnd"/>
      <w:r w:rsidRPr="00257744">
        <w:rPr>
          <w:rFonts w:asciiTheme="minorHAnsi" w:hAnsiTheme="minorHAnsi"/>
          <w:sz w:val="24"/>
          <w:szCs w:val="24"/>
        </w:rPr>
        <w:t xml:space="preserve"> Pro and a new energy model will be performed. The resulting modeled energy usage will be captured in the Radiant Labs software and stored with the original ho</w:t>
      </w:r>
      <w:r w:rsidRPr="00DF5CD4">
        <w:rPr>
          <w:rFonts w:asciiTheme="minorHAnsi" w:hAnsiTheme="minorHAnsi"/>
          <w:sz w:val="24"/>
          <w:szCs w:val="24"/>
        </w:rPr>
        <w:t>me data. If a household does not move forward with the upgrades a survey is conducted to find out the barriers and reasons for the inaction. This data will be recorded in the Radiant Labs database by an energy advisor or contractor.</w:t>
      </w:r>
    </w:p>
    <w:p w14:paraId="62A9393D" w14:textId="77777777" w:rsidR="00A34550" w:rsidRPr="00841DFE" w:rsidRDefault="00A34550" w:rsidP="00A34550">
      <w:pPr>
        <w:pStyle w:val="BodyText"/>
        <w:rPr>
          <w:rFonts w:asciiTheme="minorHAnsi" w:hAnsiTheme="minorHAnsi"/>
          <w:sz w:val="24"/>
          <w:szCs w:val="24"/>
        </w:rPr>
      </w:pPr>
      <w:r w:rsidRPr="00841DFE">
        <w:rPr>
          <w:rFonts w:asciiTheme="minorHAnsi" w:hAnsiTheme="minorHAnsi"/>
          <w:b/>
          <w:bCs/>
          <w:sz w:val="24"/>
          <w:szCs w:val="24"/>
        </w:rPr>
        <w:t>3. Define and refine cohorts</w:t>
      </w:r>
    </w:p>
    <w:p w14:paraId="1105D133" w14:textId="77777777" w:rsidR="00A34550" w:rsidRPr="005B589F" w:rsidRDefault="00A34550" w:rsidP="00A34550">
      <w:pPr>
        <w:pStyle w:val="BodyText"/>
        <w:rPr>
          <w:rFonts w:asciiTheme="minorHAnsi" w:hAnsiTheme="minorHAnsi"/>
          <w:sz w:val="24"/>
          <w:szCs w:val="24"/>
        </w:rPr>
      </w:pPr>
      <w:r w:rsidRPr="00841DFE">
        <w:rPr>
          <w:rFonts w:asciiTheme="minorHAnsi" w:hAnsiTheme="minorHAnsi"/>
          <w:sz w:val="24"/>
          <w:szCs w:val="24"/>
        </w:rPr>
        <w:t>Improved pre- and post-retrofit data will facilitate the refinement of outreach and messaging strategies to be used. To refine cohorts the process is: 1. load the original cohort, 2. review the statistics on which homes got upgrades, 3. review any ba</w:t>
      </w:r>
      <w:r w:rsidRPr="005B589F">
        <w:rPr>
          <w:rFonts w:asciiTheme="minorHAnsi" w:hAnsiTheme="minorHAnsi"/>
          <w:sz w:val="24"/>
          <w:szCs w:val="24"/>
        </w:rPr>
        <w:t xml:space="preserve">rriers to upgrades in that cohort for those who took no action, 4. adjust the filters to create a cohort with a better conversion rate by changing the filters to reflect the new data received. </w:t>
      </w:r>
    </w:p>
    <w:p w14:paraId="2737448E" w14:textId="77777777" w:rsidR="00A34550" w:rsidRDefault="00A34550" w:rsidP="00A34550">
      <w:pPr>
        <w:pStyle w:val="BodyText"/>
        <w:rPr>
          <w:rFonts w:asciiTheme="minorHAnsi" w:hAnsiTheme="minorHAnsi"/>
          <w:sz w:val="24"/>
          <w:szCs w:val="24"/>
        </w:rPr>
      </w:pPr>
      <w:r w:rsidRPr="00DE61B2">
        <w:rPr>
          <w:rFonts w:asciiTheme="minorHAnsi" w:hAnsiTheme="minorHAnsi"/>
          <w:sz w:val="24"/>
          <w:szCs w:val="24"/>
        </w:rPr>
        <w:lastRenderedPageBreak/>
        <w:t>Some cohort attributes which depend on market factors will change over time. Some of these factors include price per kWh, price per watt of PV, and carbon mix on the grid. It’s easy to add or remove homes from the cohort based on these updated market factors. Once this updated cohort is ready, it can be saved as a revision to the original cohort or added as a completely new cohort.</w:t>
      </w:r>
    </w:p>
    <w:p w14:paraId="0E4DC9D0" w14:textId="77777777" w:rsidR="00720624" w:rsidRPr="00DE61B2" w:rsidRDefault="00720624" w:rsidP="00A34550">
      <w:pPr>
        <w:pStyle w:val="BodyText"/>
        <w:rPr>
          <w:rFonts w:asciiTheme="minorHAnsi" w:hAnsiTheme="minorHAnsi"/>
          <w:sz w:val="24"/>
          <w:szCs w:val="24"/>
        </w:rPr>
      </w:pPr>
    </w:p>
    <w:p w14:paraId="5943FC50" w14:textId="77777777" w:rsidR="00F43C6A" w:rsidRPr="006C3932" w:rsidRDefault="00A34550" w:rsidP="00A34550">
      <w:pPr>
        <w:pStyle w:val="Heading1"/>
        <w:numPr>
          <w:ilvl w:val="0"/>
          <w:numId w:val="0"/>
        </w:numPr>
        <w:ind w:left="454" w:hanging="454"/>
      </w:pPr>
      <w:r w:rsidRPr="00582FB1">
        <w:t xml:space="preserve">4 </w:t>
      </w:r>
      <w:r w:rsidRPr="006C3932">
        <w:t>leverage market analysis to engage key stakeholders and develop policies &amp; programs</w:t>
      </w:r>
      <w:r w:rsidR="00F43C6A" w:rsidRPr="006C3932">
        <w:t xml:space="preserve"> </w:t>
      </w:r>
    </w:p>
    <w:p w14:paraId="20337B68" w14:textId="77777777" w:rsidR="00F959A9" w:rsidRDefault="00F959A9" w:rsidP="001E3D7D">
      <w:pPr>
        <w:pStyle w:val="BodyText"/>
        <w:spacing w:before="120" w:after="120"/>
        <w:rPr>
          <w:rFonts w:asciiTheme="minorHAnsi" w:hAnsiTheme="minorHAnsi" w:cstheme="minorHAnsi"/>
          <w:sz w:val="24"/>
          <w:szCs w:val="24"/>
        </w:rPr>
      </w:pPr>
      <w:r>
        <w:rPr>
          <w:rFonts w:asciiTheme="minorHAnsi" w:hAnsiTheme="minorHAnsi" w:cstheme="minorHAnsi"/>
          <w:sz w:val="24"/>
          <w:szCs w:val="24"/>
        </w:rPr>
        <w:t>Leveraging the results of the market analysis</w:t>
      </w:r>
      <w:r w:rsidR="00DE61B2">
        <w:rPr>
          <w:rFonts w:asciiTheme="minorHAnsi" w:hAnsiTheme="minorHAnsi" w:cstheme="minorHAnsi"/>
          <w:sz w:val="24"/>
          <w:szCs w:val="24"/>
        </w:rPr>
        <w:t xml:space="preserve"> </w:t>
      </w:r>
      <w:r>
        <w:rPr>
          <w:rFonts w:asciiTheme="minorHAnsi" w:hAnsiTheme="minorHAnsi" w:cstheme="minorHAnsi"/>
          <w:sz w:val="24"/>
          <w:szCs w:val="24"/>
        </w:rPr>
        <w:t xml:space="preserve">to support the development of policies and programs to encourage adoption of RH&amp;C technologies is critical to </w:t>
      </w:r>
      <w:r w:rsidR="00DE61B2">
        <w:rPr>
          <w:rFonts w:asciiTheme="minorHAnsi" w:hAnsiTheme="minorHAnsi" w:cstheme="minorHAnsi"/>
          <w:sz w:val="24"/>
          <w:szCs w:val="24"/>
        </w:rPr>
        <w:t xml:space="preserve">the success of a thermal decarbonization initiative. This section discusses some potential policy and program actions that city leaders could consider to build on or in conjunction with the market analysis. </w:t>
      </w:r>
    </w:p>
    <w:p w14:paraId="7211FF4C" w14:textId="77777777" w:rsidR="00F959A9" w:rsidRDefault="00F959A9" w:rsidP="001E3D7D">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Note that </w:t>
      </w:r>
      <w:r w:rsidR="009A4DEA">
        <w:rPr>
          <w:rFonts w:asciiTheme="minorHAnsi" w:hAnsiTheme="minorHAnsi" w:cstheme="minorHAnsi"/>
          <w:sz w:val="24"/>
          <w:szCs w:val="24"/>
        </w:rPr>
        <w:t xml:space="preserve">as of </w:t>
      </w:r>
      <w:r w:rsidR="006065B5">
        <w:rPr>
          <w:rFonts w:asciiTheme="minorHAnsi" w:hAnsiTheme="minorHAnsi" w:cstheme="minorHAnsi"/>
          <w:sz w:val="24"/>
          <w:szCs w:val="24"/>
        </w:rPr>
        <w:t xml:space="preserve">the </w:t>
      </w:r>
      <w:r w:rsidR="009A4DEA">
        <w:rPr>
          <w:rFonts w:asciiTheme="minorHAnsi" w:hAnsiTheme="minorHAnsi" w:cstheme="minorHAnsi"/>
          <w:sz w:val="24"/>
          <w:szCs w:val="24"/>
        </w:rPr>
        <w:t xml:space="preserve">end of 2017, </w:t>
      </w:r>
      <w:r>
        <w:rPr>
          <w:rFonts w:asciiTheme="minorHAnsi" w:hAnsiTheme="minorHAnsi" w:cstheme="minorHAnsi"/>
          <w:sz w:val="24"/>
          <w:szCs w:val="24"/>
        </w:rPr>
        <w:t xml:space="preserve">the four cities who completed their respective market analyses are in the process </w:t>
      </w:r>
      <w:r w:rsidR="009A4DEA">
        <w:rPr>
          <w:rFonts w:asciiTheme="minorHAnsi" w:hAnsiTheme="minorHAnsi" w:cstheme="minorHAnsi"/>
          <w:sz w:val="24"/>
          <w:szCs w:val="24"/>
        </w:rPr>
        <w:t xml:space="preserve">of implementing next steps to build on the results of </w:t>
      </w:r>
      <w:r w:rsidR="00190CF4">
        <w:rPr>
          <w:rFonts w:asciiTheme="minorHAnsi" w:hAnsiTheme="minorHAnsi" w:cstheme="minorHAnsi"/>
          <w:sz w:val="24"/>
          <w:szCs w:val="24"/>
        </w:rPr>
        <w:t>their analyses. Actions that these cities are considering or are implementing are thus provided here as opportunities that could be pursued by city leaders as opposed to best practices that have been tested in a variety of jurisdiction</w:t>
      </w:r>
      <w:r w:rsidR="00352783">
        <w:rPr>
          <w:rFonts w:asciiTheme="minorHAnsi" w:hAnsiTheme="minorHAnsi" w:cstheme="minorHAnsi"/>
          <w:sz w:val="24"/>
          <w:szCs w:val="24"/>
        </w:rPr>
        <w:t>s.</w:t>
      </w:r>
      <w:r w:rsidR="00DE61B2">
        <w:rPr>
          <w:rFonts w:asciiTheme="minorHAnsi" w:hAnsiTheme="minorHAnsi" w:cstheme="minorHAnsi"/>
          <w:sz w:val="24"/>
          <w:szCs w:val="24"/>
        </w:rPr>
        <w:t xml:space="preserve"> </w:t>
      </w:r>
    </w:p>
    <w:p w14:paraId="377C017E" w14:textId="77777777" w:rsidR="00D2439C" w:rsidRDefault="00DE61B2"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At a high level, policy and program opportunities could include the following:</w:t>
      </w:r>
    </w:p>
    <w:p w14:paraId="2B52146B" w14:textId="77777777" w:rsidR="00CC2664" w:rsidRDefault="00DE61B2" w:rsidP="0011467B">
      <w:pPr>
        <w:pStyle w:val="BodyText"/>
        <w:spacing w:before="120" w:after="120"/>
        <w:rPr>
          <w:rFonts w:asciiTheme="minorHAnsi" w:hAnsiTheme="minorHAnsi" w:cstheme="minorHAnsi"/>
          <w:b/>
          <w:sz w:val="24"/>
          <w:szCs w:val="24"/>
        </w:rPr>
      </w:pPr>
      <w:r>
        <w:rPr>
          <w:rFonts w:asciiTheme="minorHAnsi" w:hAnsiTheme="minorHAnsi" w:cstheme="minorHAnsi"/>
          <w:b/>
          <w:sz w:val="24"/>
          <w:szCs w:val="24"/>
        </w:rPr>
        <w:t>Assess local barriers and opportunities</w:t>
      </w:r>
    </w:p>
    <w:p w14:paraId="06E617F4" w14:textId="77777777" w:rsidR="00F959A9" w:rsidRDefault="00DE61B2"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As part of the process of identifying policy and program options, consider assessing the local barriers and opportunities for RH&amp;C deployment. While these barriers can be broadly grouped into several categories (e.g. economic, technical and building, policy and regulatory, awareness, decision-making, supply chain), it is important to identify specific, prominent local barriers and evaluate how these barriers will affect the potential for impact from policies and programs in your city. </w:t>
      </w:r>
    </w:p>
    <w:p w14:paraId="44319F44" w14:textId="77777777" w:rsidR="00CC2664" w:rsidRDefault="004D67B6" w:rsidP="0011467B">
      <w:pPr>
        <w:pStyle w:val="BodyText"/>
        <w:spacing w:before="120" w:after="120"/>
        <w:rPr>
          <w:rFonts w:asciiTheme="minorHAnsi" w:hAnsiTheme="minorHAnsi" w:cstheme="minorHAnsi"/>
          <w:b/>
          <w:sz w:val="24"/>
          <w:szCs w:val="24"/>
        </w:rPr>
      </w:pPr>
      <w:r>
        <w:rPr>
          <w:rFonts w:asciiTheme="minorHAnsi" w:hAnsiTheme="minorHAnsi" w:cstheme="minorHAnsi"/>
          <w:b/>
          <w:sz w:val="24"/>
          <w:szCs w:val="24"/>
        </w:rPr>
        <w:t>Map the local RH&amp;C supply chain</w:t>
      </w:r>
    </w:p>
    <w:p w14:paraId="3EB7D350" w14:textId="77777777" w:rsidR="004D67B6" w:rsidRDefault="004D67B6"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In addition to increasing customer demand for and adoption of RH&amp;C technologies, it will be critical to simultaneously grow the industry supply chain in order to ensure there is a sufficient number of high-quality contractors in the market to meet growing demand. Understanding key actors in the industry supply chain—e.g. manufacturers, distributors, installers, designers, etc.—will be critical to successfully engaging them in city programs. Importantly, while manufacturers and some distributors are national, most contractors are local, and it will be important to ensure that local contractors can benefit from the growth in RH&amp;C installations that will be driven by city programs.</w:t>
      </w:r>
    </w:p>
    <w:p w14:paraId="2D327536" w14:textId="77777777" w:rsidR="00352783" w:rsidRDefault="004D67B6"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Mapping the local supply chain </w:t>
      </w:r>
      <w:r w:rsidR="00BB047A">
        <w:rPr>
          <w:rFonts w:asciiTheme="minorHAnsi" w:hAnsiTheme="minorHAnsi" w:cstheme="minorHAnsi"/>
          <w:sz w:val="24"/>
          <w:szCs w:val="24"/>
        </w:rPr>
        <w:t>can be a first step to directly engaging industry actors. In particular</w:t>
      </w:r>
      <w:r w:rsidR="006065B5">
        <w:rPr>
          <w:rFonts w:asciiTheme="minorHAnsi" w:hAnsiTheme="minorHAnsi" w:cstheme="minorHAnsi"/>
          <w:sz w:val="24"/>
          <w:szCs w:val="24"/>
        </w:rPr>
        <w:t>,</w:t>
      </w:r>
      <w:r w:rsidR="00BB047A">
        <w:rPr>
          <w:rFonts w:asciiTheme="minorHAnsi" w:hAnsiTheme="minorHAnsi" w:cstheme="minorHAnsi"/>
          <w:sz w:val="24"/>
          <w:szCs w:val="24"/>
        </w:rPr>
        <w:t xml:space="preserve"> it can be valuable to city leaders to understand the total number of HVAC contractors and distributors/</w:t>
      </w:r>
      <w:proofErr w:type="gramStart"/>
      <w:r w:rsidR="00BB047A">
        <w:rPr>
          <w:rFonts w:asciiTheme="minorHAnsi" w:hAnsiTheme="minorHAnsi" w:cstheme="minorHAnsi"/>
          <w:sz w:val="24"/>
          <w:szCs w:val="24"/>
        </w:rPr>
        <w:t>suppliers</w:t>
      </w:r>
      <w:proofErr w:type="gramEnd"/>
      <w:r w:rsidR="00BB047A">
        <w:rPr>
          <w:rFonts w:asciiTheme="minorHAnsi" w:hAnsiTheme="minorHAnsi" w:cstheme="minorHAnsi"/>
          <w:sz w:val="24"/>
          <w:szCs w:val="24"/>
        </w:rPr>
        <w:t xml:space="preserve"> active around the city as well as those who are offering RH&amp;C-related services and equipment in order to understand the degree of industry engagement and growth that will be necessary to meet growing demand. </w:t>
      </w:r>
    </w:p>
    <w:p w14:paraId="03C76798" w14:textId="77777777" w:rsidR="004D67B6" w:rsidRDefault="00BB047A"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Additionally, it can be valuable to understand the types of </w:t>
      </w:r>
      <w:r w:rsidR="00352783">
        <w:rPr>
          <w:rFonts w:asciiTheme="minorHAnsi" w:hAnsiTheme="minorHAnsi" w:cstheme="minorHAnsi"/>
          <w:sz w:val="24"/>
          <w:szCs w:val="24"/>
        </w:rPr>
        <w:t xml:space="preserve">RH&amp;C-related </w:t>
      </w:r>
      <w:r>
        <w:rPr>
          <w:rFonts w:asciiTheme="minorHAnsi" w:hAnsiTheme="minorHAnsi" w:cstheme="minorHAnsi"/>
          <w:sz w:val="24"/>
          <w:szCs w:val="24"/>
        </w:rPr>
        <w:t xml:space="preserve">trainings and certifications offered by manufacturers, distributors, and third-party organizations, as well as how readily available those </w:t>
      </w:r>
      <w:r w:rsidR="00352783">
        <w:rPr>
          <w:rFonts w:asciiTheme="minorHAnsi" w:hAnsiTheme="minorHAnsi" w:cstheme="minorHAnsi"/>
          <w:sz w:val="24"/>
          <w:szCs w:val="24"/>
        </w:rPr>
        <w:t xml:space="preserve">certifications are to contractors interested in installing and servicing RH&amp;C systems (i.e. what distributors or training centers are offering these trainings and where are they </w:t>
      </w:r>
      <w:r w:rsidR="00352783">
        <w:rPr>
          <w:rFonts w:asciiTheme="minorHAnsi" w:hAnsiTheme="minorHAnsi" w:cstheme="minorHAnsi"/>
          <w:sz w:val="24"/>
          <w:szCs w:val="24"/>
        </w:rPr>
        <w:lastRenderedPageBreak/>
        <w:t xml:space="preserve">located). It will be critical to ensure that new contractors entering the market are adequately trained to ensure that the growing number of RH&amp;C installations are not poorly-installed, which could negatively impact growth in the market. </w:t>
      </w:r>
    </w:p>
    <w:p w14:paraId="13DDF6EE" w14:textId="77777777" w:rsidR="004D67B6" w:rsidRDefault="004D67B6" w:rsidP="004D67B6">
      <w:pPr>
        <w:pStyle w:val="Default"/>
        <w:rPr>
          <w:rFonts w:asciiTheme="minorHAnsi" w:hAnsiTheme="minorHAnsi"/>
        </w:rPr>
      </w:pPr>
      <w:r>
        <w:rPr>
          <w:rFonts w:asciiTheme="minorHAnsi" w:hAnsiTheme="minorHAnsi"/>
        </w:rPr>
        <w:t>For example, t</w:t>
      </w:r>
      <w:r w:rsidRPr="00DE61B2">
        <w:rPr>
          <w:rFonts w:asciiTheme="minorHAnsi" w:hAnsiTheme="minorHAnsi"/>
        </w:rPr>
        <w:t xml:space="preserve">he typical </w:t>
      </w:r>
      <w:r w:rsidR="00BB047A">
        <w:rPr>
          <w:rFonts w:asciiTheme="minorHAnsi" w:hAnsiTheme="minorHAnsi"/>
        </w:rPr>
        <w:t>residential ASHP and HPWH</w:t>
      </w:r>
      <w:r w:rsidRPr="00DE61B2">
        <w:rPr>
          <w:rFonts w:asciiTheme="minorHAnsi" w:hAnsiTheme="minorHAnsi"/>
        </w:rPr>
        <w:t xml:space="preserve"> supply chain</w:t>
      </w:r>
      <w:r w:rsidR="00BB047A">
        <w:rPr>
          <w:rFonts w:asciiTheme="minorHAnsi" w:hAnsiTheme="minorHAnsi"/>
        </w:rPr>
        <w:t xml:space="preserve"> </w:t>
      </w:r>
      <w:r w:rsidRPr="00DE61B2">
        <w:rPr>
          <w:rFonts w:asciiTheme="minorHAnsi" w:hAnsiTheme="minorHAnsi"/>
        </w:rPr>
        <w:t>is shown</w:t>
      </w:r>
      <w:r>
        <w:rPr>
          <w:rFonts w:asciiTheme="minorHAnsi" w:hAnsiTheme="minorHAnsi"/>
        </w:rPr>
        <w:t xml:space="preserve"> in </w:t>
      </w:r>
      <w:r w:rsidR="00352783">
        <w:rPr>
          <w:rFonts w:asciiTheme="minorHAnsi" w:hAnsiTheme="minorHAnsi"/>
        </w:rPr>
        <w:fldChar w:fldCharType="begin"/>
      </w:r>
      <w:r w:rsidR="00352783">
        <w:rPr>
          <w:rFonts w:asciiTheme="minorHAnsi" w:hAnsiTheme="minorHAnsi"/>
        </w:rPr>
        <w:instrText xml:space="preserve"> REF _Ref501640971 \h </w:instrText>
      </w:r>
      <w:r w:rsidR="004C712F">
        <w:rPr>
          <w:rFonts w:asciiTheme="minorHAnsi" w:hAnsiTheme="minorHAnsi"/>
        </w:rPr>
        <w:instrText xml:space="preserve"> \* MERGEFORMAT </w:instrText>
      </w:r>
      <w:r w:rsidR="00352783">
        <w:rPr>
          <w:rFonts w:asciiTheme="minorHAnsi" w:hAnsiTheme="minorHAnsi"/>
        </w:rPr>
      </w:r>
      <w:r w:rsidR="00352783">
        <w:rPr>
          <w:rFonts w:asciiTheme="minorHAnsi" w:hAnsiTheme="minorHAnsi"/>
        </w:rPr>
        <w:fldChar w:fldCharType="separate"/>
      </w:r>
      <w:r w:rsidR="00352783" w:rsidRPr="000B11E8">
        <w:rPr>
          <w:rFonts w:asciiTheme="minorHAnsi" w:hAnsiTheme="minorHAnsi"/>
        </w:rPr>
        <w:t>Figure 3</w:t>
      </w:r>
      <w:r w:rsidR="00352783">
        <w:rPr>
          <w:rFonts w:asciiTheme="minorHAnsi" w:hAnsiTheme="minorHAnsi"/>
        </w:rPr>
        <w:fldChar w:fldCharType="end"/>
      </w:r>
      <w:r w:rsidR="00352783">
        <w:rPr>
          <w:rFonts w:asciiTheme="minorHAnsi" w:hAnsiTheme="minorHAnsi"/>
        </w:rPr>
        <w:t xml:space="preserve"> </w:t>
      </w:r>
      <w:r>
        <w:rPr>
          <w:rFonts w:asciiTheme="minorHAnsi" w:hAnsiTheme="minorHAnsi"/>
        </w:rPr>
        <w:t xml:space="preserve">below. </w:t>
      </w:r>
      <w:r w:rsidR="00352783">
        <w:rPr>
          <w:rFonts w:asciiTheme="minorHAnsi" w:hAnsiTheme="minorHAnsi"/>
        </w:rPr>
        <w:t>As part of the project, t</w:t>
      </w:r>
      <w:r>
        <w:rPr>
          <w:rFonts w:asciiTheme="minorHAnsi" w:hAnsiTheme="minorHAnsi"/>
        </w:rPr>
        <w:t xml:space="preserve">he four cities </w:t>
      </w:r>
      <w:r w:rsidR="00BB047A">
        <w:rPr>
          <w:rFonts w:asciiTheme="minorHAnsi" w:hAnsiTheme="minorHAnsi"/>
        </w:rPr>
        <w:t xml:space="preserve">completed a supply chain mapping exercise focused </w:t>
      </w:r>
      <w:r w:rsidR="00352783">
        <w:rPr>
          <w:rFonts w:asciiTheme="minorHAnsi" w:hAnsiTheme="minorHAnsi"/>
        </w:rPr>
        <w:t xml:space="preserve">primarily </w:t>
      </w:r>
      <w:r w:rsidR="00BB047A">
        <w:rPr>
          <w:rFonts w:asciiTheme="minorHAnsi" w:hAnsiTheme="minorHAnsi"/>
        </w:rPr>
        <w:t>on cold climate ASHPs</w:t>
      </w:r>
      <w:r w:rsidR="00352783">
        <w:rPr>
          <w:rFonts w:asciiTheme="minorHAnsi" w:hAnsiTheme="minorHAnsi"/>
        </w:rPr>
        <w:t xml:space="preserve"> to better understand the industry </w:t>
      </w:r>
      <w:proofErr w:type="gramStart"/>
      <w:r w:rsidR="00352783">
        <w:rPr>
          <w:rFonts w:asciiTheme="minorHAnsi" w:hAnsiTheme="minorHAnsi"/>
        </w:rPr>
        <w:t>actors</w:t>
      </w:r>
      <w:proofErr w:type="gramEnd"/>
      <w:r w:rsidR="00352783">
        <w:rPr>
          <w:rFonts w:asciiTheme="minorHAnsi" w:hAnsiTheme="minorHAnsi"/>
        </w:rPr>
        <w:t xml:space="preserve"> active in their cities. </w:t>
      </w:r>
    </w:p>
    <w:p w14:paraId="4556D197" w14:textId="77777777" w:rsidR="00352783" w:rsidRDefault="00352783" w:rsidP="004D67B6">
      <w:pPr>
        <w:pStyle w:val="Default"/>
        <w:rPr>
          <w:rFonts w:asciiTheme="minorHAnsi" w:hAnsiTheme="minorHAnsi"/>
        </w:rPr>
      </w:pPr>
    </w:p>
    <w:p w14:paraId="2EB3727C" w14:textId="77777777" w:rsidR="00352783" w:rsidRPr="00DE61B2" w:rsidRDefault="00352783" w:rsidP="000B11E8">
      <w:pPr>
        <w:pStyle w:val="Caption"/>
        <w:jc w:val="center"/>
        <w:rPr>
          <w:rFonts w:asciiTheme="minorHAnsi" w:hAnsiTheme="minorHAnsi"/>
        </w:rPr>
      </w:pPr>
      <w:bookmarkStart w:id="10" w:name="_Ref501640971"/>
      <w:r>
        <w:t xml:space="preserve">Figure </w:t>
      </w:r>
      <w:fldSimple w:instr=" SEQ Figure \* ARABIC ">
        <w:r w:rsidR="002F3C61">
          <w:rPr>
            <w:noProof/>
          </w:rPr>
          <w:t>3</w:t>
        </w:r>
      </w:fldSimple>
      <w:bookmarkEnd w:id="10"/>
      <w:r>
        <w:t>. Typical ASHP and HPWH residential supply chain</w:t>
      </w:r>
    </w:p>
    <w:p w14:paraId="353BD6B7" w14:textId="77777777" w:rsidR="004D67B6" w:rsidRPr="00DE61B2" w:rsidRDefault="004D67B6" w:rsidP="004D67B6">
      <w:pPr>
        <w:pStyle w:val="Default"/>
        <w:ind w:left="1440"/>
        <w:rPr>
          <w:rFonts w:asciiTheme="minorHAnsi" w:hAnsiTheme="minorHAnsi"/>
        </w:rPr>
      </w:pPr>
    </w:p>
    <w:p w14:paraId="53A8F1E3" w14:textId="77777777" w:rsidR="004D67B6" w:rsidRPr="00582FB1" w:rsidRDefault="004D67B6" w:rsidP="000B11E8">
      <w:pPr>
        <w:pStyle w:val="Default"/>
        <w:ind w:left="1440"/>
        <w:jc w:val="center"/>
        <w:rPr>
          <w:rFonts w:asciiTheme="minorHAnsi" w:hAnsiTheme="minorHAnsi"/>
        </w:rPr>
      </w:pPr>
      <w:r w:rsidRPr="00582FB1">
        <w:rPr>
          <w:rFonts w:asciiTheme="minorHAnsi" w:hAnsiTheme="minorHAnsi"/>
          <w:noProof/>
          <w:lang w:eastAsia="en-US"/>
        </w:rPr>
        <w:drawing>
          <wp:inline distT="0" distB="0" distL="0" distR="0" wp14:anchorId="72AB9F30" wp14:editId="3D06ED4C">
            <wp:extent cx="5191125" cy="2296632"/>
            <wp:effectExtent l="0" t="0" r="0" b="8890"/>
            <wp:docPr id="8" name="Picture 8" descr="cid:image001.png@01D341A3.DEFCF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341A3.DEFCF1F0"/>
                    <pic:cNvPicPr>
                      <a:picLocks noChangeAspect="1" noChangeArrowheads="1"/>
                    </pic:cNvPicPr>
                  </pic:nvPicPr>
                  <pic:blipFill rotWithShape="1">
                    <a:blip r:embed="rId34" r:link="rId35">
                      <a:extLst>
                        <a:ext uri="{28A0092B-C50C-407E-A947-70E740481C1C}">
                          <a14:useLocalDpi xmlns:a14="http://schemas.microsoft.com/office/drawing/2010/main" val="0"/>
                        </a:ext>
                      </a:extLst>
                    </a:blip>
                    <a:srcRect b="12321"/>
                    <a:stretch/>
                  </pic:blipFill>
                  <pic:spPr bwMode="auto">
                    <a:xfrm>
                      <a:off x="0" y="0"/>
                      <a:ext cx="5191125" cy="2296632"/>
                    </a:xfrm>
                    <a:prstGeom prst="rect">
                      <a:avLst/>
                    </a:prstGeom>
                    <a:noFill/>
                    <a:ln>
                      <a:noFill/>
                    </a:ln>
                    <a:extLst>
                      <a:ext uri="{53640926-AAD7-44D8-BBD7-CCE9431645EC}">
                        <a14:shadowObscured xmlns:a14="http://schemas.microsoft.com/office/drawing/2010/main"/>
                      </a:ext>
                    </a:extLst>
                  </pic:spPr>
                </pic:pic>
              </a:graphicData>
            </a:graphic>
          </wp:inline>
        </w:drawing>
      </w:r>
    </w:p>
    <w:p w14:paraId="13546F47" w14:textId="77777777" w:rsidR="004D67B6" w:rsidRPr="004D67B6" w:rsidRDefault="004D67B6" w:rsidP="0011467B">
      <w:pPr>
        <w:pStyle w:val="BodyText"/>
        <w:spacing w:before="120" w:after="120"/>
        <w:rPr>
          <w:rFonts w:asciiTheme="minorHAnsi" w:hAnsiTheme="minorHAnsi" w:cstheme="minorHAnsi"/>
          <w:sz w:val="24"/>
          <w:szCs w:val="24"/>
        </w:rPr>
      </w:pPr>
    </w:p>
    <w:p w14:paraId="293DBA28" w14:textId="77777777" w:rsidR="00CC2664" w:rsidRDefault="00DE61B2" w:rsidP="0011467B">
      <w:pPr>
        <w:pStyle w:val="BodyText"/>
        <w:spacing w:before="120" w:after="120"/>
        <w:rPr>
          <w:rFonts w:asciiTheme="minorHAnsi" w:hAnsiTheme="minorHAnsi" w:cstheme="minorHAnsi"/>
          <w:b/>
          <w:sz w:val="24"/>
          <w:szCs w:val="24"/>
        </w:rPr>
      </w:pPr>
      <w:r>
        <w:rPr>
          <w:rFonts w:asciiTheme="minorHAnsi" w:hAnsiTheme="minorHAnsi" w:cstheme="minorHAnsi"/>
          <w:b/>
          <w:sz w:val="24"/>
          <w:szCs w:val="24"/>
        </w:rPr>
        <w:t xml:space="preserve">Explore </w:t>
      </w:r>
      <w:r w:rsidR="0011467B">
        <w:rPr>
          <w:rFonts w:asciiTheme="minorHAnsi" w:hAnsiTheme="minorHAnsi" w:cstheme="minorHAnsi"/>
          <w:b/>
          <w:sz w:val="24"/>
          <w:szCs w:val="24"/>
        </w:rPr>
        <w:t>options for policies and programs</w:t>
      </w:r>
    </w:p>
    <w:p w14:paraId="401B4F52" w14:textId="77777777" w:rsidR="0011467B" w:rsidRDefault="0011467B"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A broad suite of policies and programs will be necessary to achieve a city-wide market transformation. Some of the </w:t>
      </w:r>
      <w:r w:rsidR="00CC2664">
        <w:rPr>
          <w:rFonts w:asciiTheme="minorHAnsi" w:hAnsiTheme="minorHAnsi" w:cstheme="minorHAnsi"/>
          <w:sz w:val="24"/>
          <w:szCs w:val="24"/>
        </w:rPr>
        <w:t>high-level</w:t>
      </w:r>
      <w:r>
        <w:rPr>
          <w:rFonts w:asciiTheme="minorHAnsi" w:hAnsiTheme="minorHAnsi" w:cstheme="minorHAnsi"/>
          <w:sz w:val="24"/>
          <w:szCs w:val="24"/>
        </w:rPr>
        <w:t xml:space="preserve"> categories and examples of policy actions identified by the project team and in other jurisdictions are described in </w:t>
      </w:r>
      <w:r w:rsidRPr="0011467B">
        <w:rPr>
          <w:rFonts w:asciiTheme="minorHAnsi" w:hAnsiTheme="minorHAnsi" w:cstheme="minorHAnsi"/>
          <w:sz w:val="24"/>
          <w:szCs w:val="24"/>
        </w:rPr>
        <w:fldChar w:fldCharType="begin"/>
      </w:r>
      <w:r w:rsidRPr="0011467B">
        <w:rPr>
          <w:rFonts w:asciiTheme="minorHAnsi" w:hAnsiTheme="minorHAnsi" w:cstheme="minorHAnsi"/>
          <w:sz w:val="24"/>
          <w:szCs w:val="24"/>
        </w:rPr>
        <w:instrText xml:space="preserve"> REF _Ref501566401 \h </w:instrText>
      </w:r>
      <w:r w:rsidR="00CC2664">
        <w:rPr>
          <w:rFonts w:asciiTheme="minorHAnsi" w:hAnsiTheme="minorHAnsi" w:cstheme="minorHAnsi"/>
          <w:sz w:val="24"/>
          <w:szCs w:val="24"/>
        </w:rPr>
        <w:instrText xml:space="preserve"> \* MERGEFORMAT </w:instrText>
      </w:r>
      <w:r w:rsidRPr="0011467B">
        <w:rPr>
          <w:rFonts w:asciiTheme="minorHAnsi" w:hAnsiTheme="minorHAnsi" w:cstheme="minorHAnsi"/>
          <w:sz w:val="24"/>
          <w:szCs w:val="24"/>
        </w:rPr>
      </w:r>
      <w:r w:rsidRPr="0011467B">
        <w:rPr>
          <w:rFonts w:asciiTheme="minorHAnsi" w:hAnsiTheme="minorHAnsi" w:cstheme="minorHAnsi"/>
          <w:sz w:val="24"/>
          <w:szCs w:val="24"/>
        </w:rPr>
        <w:fldChar w:fldCharType="separate"/>
      </w:r>
      <w:r w:rsidR="000B5990" w:rsidRPr="000B11E8">
        <w:rPr>
          <w:rFonts w:asciiTheme="minorHAnsi" w:hAnsiTheme="minorHAnsi" w:cstheme="minorHAnsi"/>
          <w:sz w:val="24"/>
          <w:szCs w:val="24"/>
        </w:rPr>
        <w:t>Figure 4</w:t>
      </w:r>
      <w:r w:rsidRPr="0011467B">
        <w:rPr>
          <w:rFonts w:asciiTheme="minorHAnsi" w:hAnsiTheme="minorHAnsi" w:cstheme="minorHAnsi"/>
          <w:sz w:val="24"/>
          <w:szCs w:val="24"/>
        </w:rPr>
        <w:fldChar w:fldCharType="end"/>
      </w:r>
      <w:r w:rsidRPr="0011467B">
        <w:rPr>
          <w:rFonts w:asciiTheme="minorHAnsi" w:hAnsiTheme="minorHAnsi" w:cstheme="minorHAnsi"/>
          <w:sz w:val="24"/>
          <w:szCs w:val="24"/>
        </w:rPr>
        <w:t>.</w:t>
      </w:r>
      <w:r>
        <w:rPr>
          <w:rFonts w:asciiTheme="minorHAnsi" w:hAnsiTheme="minorHAnsi" w:cstheme="minorHAnsi"/>
          <w:sz w:val="24"/>
          <w:szCs w:val="24"/>
        </w:rPr>
        <w:t xml:space="preserve"> </w:t>
      </w:r>
    </w:p>
    <w:p w14:paraId="72BEDEDE" w14:textId="77777777" w:rsidR="0011467B" w:rsidRDefault="0011467B"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 xml:space="preserve">Findings from the market analysis can be leveraged for some of these policies and programs. For example, programs aimed at raising outreach and encouraging technology adoption could be focused on key market segments or cohorts identified as likely adopters in order to drive initial success and build momentum for follow-on actions. </w:t>
      </w:r>
    </w:p>
    <w:p w14:paraId="1F78E1F0" w14:textId="77777777" w:rsidR="0011467B" w:rsidRPr="0011467B" w:rsidRDefault="0011467B" w:rsidP="000B11E8">
      <w:pPr>
        <w:pStyle w:val="Caption"/>
        <w:keepNext/>
        <w:jc w:val="center"/>
        <w:rPr>
          <w:rFonts w:asciiTheme="minorHAnsi" w:hAnsiTheme="minorHAnsi" w:cstheme="minorHAnsi"/>
          <w:sz w:val="24"/>
          <w:szCs w:val="24"/>
        </w:rPr>
      </w:pPr>
      <w:r>
        <w:lastRenderedPageBreak/>
        <w:t>Example options for policies and programs to drive RH&amp;C adoption.</w:t>
      </w:r>
    </w:p>
    <w:p w14:paraId="7B806E41" w14:textId="77777777" w:rsidR="0011467B" w:rsidRPr="00316294" w:rsidRDefault="0011467B" w:rsidP="00CC2664">
      <w:pPr>
        <w:pStyle w:val="BodyText"/>
        <w:spacing w:before="120" w:after="120"/>
        <w:jc w:val="center"/>
        <w:rPr>
          <w:rFonts w:asciiTheme="minorHAnsi" w:hAnsiTheme="minorHAnsi" w:cstheme="minorHAnsi"/>
          <w:sz w:val="24"/>
          <w:szCs w:val="24"/>
        </w:rPr>
      </w:pPr>
      <w:r w:rsidRPr="00582FB1">
        <w:rPr>
          <w:rFonts w:asciiTheme="minorHAnsi" w:hAnsiTheme="minorHAnsi"/>
          <w:noProof/>
          <w:lang w:eastAsia="en-US"/>
        </w:rPr>
        <w:drawing>
          <wp:inline distT="0" distB="0" distL="0" distR="0" wp14:anchorId="4DCA5600" wp14:editId="66520C39">
            <wp:extent cx="6084570" cy="3025285"/>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084570" cy="3025285"/>
                    </a:xfrm>
                    <a:prstGeom prst="rect">
                      <a:avLst/>
                    </a:prstGeom>
                  </pic:spPr>
                </pic:pic>
              </a:graphicData>
            </a:graphic>
          </wp:inline>
        </w:drawing>
      </w:r>
    </w:p>
    <w:p w14:paraId="0912AB0D" w14:textId="77777777" w:rsidR="0011467B" w:rsidRPr="00D2439C" w:rsidRDefault="0011467B" w:rsidP="0011467B">
      <w:pPr>
        <w:pStyle w:val="BodyText"/>
        <w:spacing w:before="120" w:after="120"/>
        <w:rPr>
          <w:rFonts w:asciiTheme="minorHAnsi" w:hAnsiTheme="minorHAnsi" w:cstheme="minorHAnsi"/>
          <w:sz w:val="24"/>
          <w:szCs w:val="24"/>
        </w:rPr>
      </w:pPr>
      <w:r w:rsidRPr="00D2439C">
        <w:rPr>
          <w:rFonts w:asciiTheme="minorHAnsi" w:hAnsiTheme="minorHAnsi" w:cstheme="minorHAnsi"/>
          <w:sz w:val="24"/>
          <w:szCs w:val="24"/>
        </w:rPr>
        <w:t>As cities are limited in their capacities (e.g. staff, financial) and areas in which they can influence</w:t>
      </w:r>
      <w:r w:rsidR="00CC2664">
        <w:rPr>
          <w:rFonts w:asciiTheme="minorHAnsi" w:hAnsiTheme="minorHAnsi" w:cstheme="minorHAnsi"/>
          <w:sz w:val="24"/>
          <w:szCs w:val="24"/>
        </w:rPr>
        <w:t>,</w:t>
      </w:r>
      <w:r w:rsidRPr="00D2439C">
        <w:rPr>
          <w:rFonts w:asciiTheme="minorHAnsi" w:hAnsiTheme="minorHAnsi" w:cstheme="minorHAnsi"/>
          <w:sz w:val="24"/>
          <w:szCs w:val="24"/>
        </w:rPr>
        <w:t xml:space="preserve"> </w:t>
      </w:r>
      <w:r w:rsidR="00CC2664">
        <w:rPr>
          <w:rFonts w:asciiTheme="minorHAnsi" w:hAnsiTheme="minorHAnsi" w:cstheme="minorHAnsi"/>
          <w:sz w:val="24"/>
          <w:szCs w:val="24"/>
        </w:rPr>
        <w:t>c</w:t>
      </w:r>
      <w:r w:rsidRPr="00D2439C">
        <w:rPr>
          <w:rFonts w:asciiTheme="minorHAnsi" w:hAnsiTheme="minorHAnsi" w:cstheme="minorHAnsi"/>
          <w:sz w:val="24"/>
          <w:szCs w:val="24"/>
        </w:rPr>
        <w:t xml:space="preserve">ities could consider as a starting point pilot programs focused on raising awareness and building customer demand, voluntary mandates and codes for RH&amp;C, and other actions to stimulate initial market demand. Additionally, cities should consider their options for engaging and </w:t>
      </w:r>
      <w:r w:rsidR="00BB047A" w:rsidRPr="00D2439C">
        <w:rPr>
          <w:rFonts w:asciiTheme="minorHAnsi" w:hAnsiTheme="minorHAnsi" w:cstheme="minorHAnsi"/>
          <w:sz w:val="24"/>
          <w:szCs w:val="24"/>
        </w:rPr>
        <w:t>influencing</w:t>
      </w:r>
      <w:r w:rsidRPr="00D2439C">
        <w:rPr>
          <w:rFonts w:asciiTheme="minorHAnsi" w:hAnsiTheme="minorHAnsi" w:cstheme="minorHAnsi"/>
          <w:sz w:val="24"/>
          <w:szCs w:val="24"/>
        </w:rPr>
        <w:t xml:space="preserve"> state- and utility-level decision-making processes to address issues outside of their spheres of control. </w:t>
      </w:r>
    </w:p>
    <w:p w14:paraId="2C38D9E1" w14:textId="77777777" w:rsidR="0011467B" w:rsidRPr="00D2439C" w:rsidRDefault="0011467B" w:rsidP="0011467B">
      <w:pPr>
        <w:pStyle w:val="BodyText"/>
        <w:spacing w:before="120" w:after="120"/>
        <w:rPr>
          <w:rFonts w:asciiTheme="minorHAnsi" w:hAnsiTheme="minorHAnsi" w:cstheme="minorHAnsi"/>
          <w:b/>
          <w:sz w:val="24"/>
          <w:szCs w:val="24"/>
        </w:rPr>
      </w:pPr>
      <w:r w:rsidRPr="00D2439C">
        <w:rPr>
          <w:rFonts w:asciiTheme="minorHAnsi" w:hAnsiTheme="minorHAnsi" w:cstheme="minorHAnsi"/>
          <w:b/>
          <w:sz w:val="24"/>
          <w:szCs w:val="24"/>
        </w:rPr>
        <w:t>Explore collaboration with a broad range of key stakeholders</w:t>
      </w:r>
    </w:p>
    <w:p w14:paraId="1C0B6382" w14:textId="77777777" w:rsidR="0011467B" w:rsidRPr="00D2439C" w:rsidRDefault="0011467B" w:rsidP="0011467B">
      <w:pPr>
        <w:pStyle w:val="BodyText"/>
        <w:spacing w:before="120" w:after="120"/>
        <w:rPr>
          <w:rFonts w:asciiTheme="minorHAnsi" w:hAnsiTheme="minorHAnsi" w:cstheme="minorHAnsi"/>
          <w:sz w:val="24"/>
          <w:szCs w:val="24"/>
        </w:rPr>
      </w:pPr>
      <w:r w:rsidRPr="00D2439C">
        <w:rPr>
          <w:rFonts w:asciiTheme="minorHAnsi" w:hAnsiTheme="minorHAnsi" w:cstheme="minorHAnsi"/>
          <w:sz w:val="24"/>
          <w:szCs w:val="24"/>
        </w:rPr>
        <w:t xml:space="preserve">Driving a market transformation on the scale needed to achieve deep decarbonization goals will be challenging and will require coordinated efforts from various key stakeholders, ranging from industry actors (e.g. manufacturers, contractors, distributors) to local community organizations to state policymakers/regulators and utilities. </w:t>
      </w:r>
    </w:p>
    <w:p w14:paraId="7BF532BD" w14:textId="77777777" w:rsidR="0011467B" w:rsidRPr="00D2439C" w:rsidRDefault="0011467B" w:rsidP="0011467B">
      <w:pPr>
        <w:pStyle w:val="BodyText"/>
        <w:spacing w:before="120" w:after="120"/>
        <w:rPr>
          <w:rFonts w:asciiTheme="minorHAnsi" w:hAnsiTheme="minorHAnsi" w:cstheme="minorHAnsi"/>
          <w:sz w:val="24"/>
          <w:szCs w:val="24"/>
        </w:rPr>
      </w:pPr>
      <w:r w:rsidRPr="00D2439C">
        <w:rPr>
          <w:rFonts w:asciiTheme="minorHAnsi" w:hAnsiTheme="minorHAnsi" w:cstheme="minorHAnsi"/>
          <w:sz w:val="24"/>
          <w:szCs w:val="24"/>
        </w:rPr>
        <w:t>City leaders could consider conducting stakeholder mapping exercises to identify key stakeholders, influencers, and decision-makers that could strengthen (or inhibit) city efforts. These stakeholders could be</w:t>
      </w:r>
      <w:r w:rsidR="001E7732" w:rsidRPr="00D2439C">
        <w:rPr>
          <w:rFonts w:asciiTheme="minorHAnsi" w:hAnsiTheme="minorHAnsi" w:cstheme="minorHAnsi"/>
          <w:sz w:val="24"/>
          <w:szCs w:val="24"/>
        </w:rPr>
        <w:t xml:space="preserve"> engaged as part of a stakeholder advisory committee in order to solicit input</w:t>
      </w:r>
      <w:r w:rsidR="00624C14">
        <w:rPr>
          <w:rFonts w:asciiTheme="minorHAnsi" w:hAnsiTheme="minorHAnsi" w:cstheme="minorHAnsi"/>
          <w:sz w:val="24"/>
          <w:szCs w:val="24"/>
        </w:rPr>
        <w:t xml:space="preserve"> and</w:t>
      </w:r>
      <w:r w:rsidR="001E7732" w:rsidRPr="00D2439C">
        <w:rPr>
          <w:rFonts w:asciiTheme="minorHAnsi" w:hAnsiTheme="minorHAnsi" w:cstheme="minorHAnsi"/>
          <w:sz w:val="24"/>
          <w:szCs w:val="24"/>
        </w:rPr>
        <w:t xml:space="preserve"> form strategic partnerships</w:t>
      </w:r>
      <w:r w:rsidR="00624C14">
        <w:rPr>
          <w:rFonts w:asciiTheme="minorHAnsi" w:hAnsiTheme="minorHAnsi" w:cstheme="minorHAnsi"/>
          <w:sz w:val="24"/>
          <w:szCs w:val="24"/>
        </w:rPr>
        <w:t xml:space="preserve"> </w:t>
      </w:r>
      <w:r w:rsidR="001E7732" w:rsidRPr="00D2439C">
        <w:rPr>
          <w:rFonts w:asciiTheme="minorHAnsi" w:hAnsiTheme="minorHAnsi" w:cstheme="minorHAnsi"/>
          <w:sz w:val="24"/>
          <w:szCs w:val="24"/>
        </w:rPr>
        <w:t xml:space="preserve">related to city thermal decarbonization actions.  </w:t>
      </w:r>
    </w:p>
    <w:p w14:paraId="5D6D8A8C" w14:textId="4E68F3B3" w:rsidR="005A7777" w:rsidRPr="00D2439C" w:rsidRDefault="0011467B" w:rsidP="0011467B">
      <w:pPr>
        <w:pStyle w:val="BodyText"/>
        <w:spacing w:before="120" w:after="120"/>
        <w:rPr>
          <w:rFonts w:asciiTheme="minorHAnsi" w:hAnsiTheme="minorHAnsi" w:cstheme="minorHAnsi"/>
          <w:sz w:val="24"/>
          <w:szCs w:val="24"/>
        </w:rPr>
      </w:pPr>
      <w:r w:rsidRPr="00D2439C">
        <w:rPr>
          <w:rFonts w:asciiTheme="minorHAnsi" w:hAnsiTheme="minorHAnsi" w:cstheme="minorHAnsi"/>
          <w:sz w:val="24"/>
          <w:szCs w:val="24"/>
        </w:rPr>
        <w:t xml:space="preserve">In particular, the four cities have expressed significant interest in </w:t>
      </w:r>
      <w:r w:rsidR="001E7732" w:rsidRPr="00D2439C">
        <w:rPr>
          <w:rFonts w:asciiTheme="minorHAnsi" w:hAnsiTheme="minorHAnsi" w:cstheme="minorHAnsi"/>
          <w:sz w:val="24"/>
          <w:szCs w:val="24"/>
        </w:rPr>
        <w:t xml:space="preserve">directly engaging and establishing public-private collaborations with leading manufacturers of heat pump technologies in order to coordinate efforts and collaboratively drive market development. The cities have begun engaging manufacturers through </w:t>
      </w:r>
      <w:r w:rsidR="00CC2664" w:rsidRPr="00D2439C">
        <w:rPr>
          <w:rFonts w:asciiTheme="minorHAnsi" w:hAnsiTheme="minorHAnsi" w:cstheme="minorHAnsi"/>
          <w:sz w:val="24"/>
          <w:szCs w:val="24"/>
        </w:rPr>
        <w:t>convening</w:t>
      </w:r>
      <w:r w:rsidR="001E7732" w:rsidRPr="00D2439C">
        <w:rPr>
          <w:rFonts w:asciiTheme="minorHAnsi" w:hAnsiTheme="minorHAnsi" w:cstheme="minorHAnsi"/>
          <w:sz w:val="24"/>
          <w:szCs w:val="24"/>
        </w:rPr>
        <w:t xml:space="preserve"> and follow-on pilot projects. Details on these efforts and lessons learned from working to establish these collaborations are discussed in </w:t>
      </w:r>
      <w:r w:rsidR="001E7732" w:rsidRPr="00D2439C">
        <w:rPr>
          <w:rFonts w:asciiTheme="minorHAnsi" w:hAnsiTheme="minorHAnsi" w:cstheme="minorHAnsi"/>
          <w:sz w:val="24"/>
          <w:szCs w:val="24"/>
        </w:rPr>
        <w:fldChar w:fldCharType="begin"/>
      </w:r>
      <w:r w:rsidR="001E7732" w:rsidRPr="00D2439C">
        <w:rPr>
          <w:rFonts w:asciiTheme="minorHAnsi" w:hAnsiTheme="minorHAnsi" w:cstheme="minorHAnsi"/>
          <w:sz w:val="24"/>
          <w:szCs w:val="24"/>
        </w:rPr>
        <w:instrText xml:space="preserve"> REF _Ref501567178 \h </w:instrText>
      </w:r>
      <w:r w:rsidR="00D2439C" w:rsidRPr="00D2439C">
        <w:rPr>
          <w:rFonts w:asciiTheme="minorHAnsi" w:hAnsiTheme="minorHAnsi" w:cstheme="minorHAnsi"/>
          <w:sz w:val="24"/>
          <w:szCs w:val="24"/>
        </w:rPr>
        <w:instrText xml:space="preserve"> \* MERGEFORMAT </w:instrText>
      </w:r>
      <w:r w:rsidR="001E7732" w:rsidRPr="00D2439C">
        <w:rPr>
          <w:rFonts w:asciiTheme="minorHAnsi" w:hAnsiTheme="minorHAnsi" w:cstheme="minorHAnsi"/>
          <w:sz w:val="24"/>
          <w:szCs w:val="24"/>
        </w:rPr>
      </w:r>
      <w:r w:rsidR="001E7732" w:rsidRPr="00D2439C">
        <w:rPr>
          <w:rFonts w:asciiTheme="minorHAnsi" w:hAnsiTheme="minorHAnsi" w:cstheme="minorHAnsi"/>
          <w:sz w:val="24"/>
          <w:szCs w:val="24"/>
        </w:rPr>
        <w:fldChar w:fldCharType="separate"/>
      </w:r>
      <w:r w:rsidR="001E7732" w:rsidRPr="00D2439C">
        <w:rPr>
          <w:rFonts w:asciiTheme="minorHAnsi" w:hAnsiTheme="minorHAnsi" w:cstheme="minorHAnsi"/>
          <w:sz w:val="24"/>
          <w:szCs w:val="24"/>
        </w:rPr>
        <w:t xml:space="preserve">Box </w:t>
      </w:r>
      <w:r w:rsidR="001E7732" w:rsidRPr="00D2439C">
        <w:rPr>
          <w:rFonts w:asciiTheme="minorHAnsi" w:hAnsiTheme="minorHAnsi" w:cstheme="minorHAnsi"/>
          <w:noProof/>
          <w:sz w:val="24"/>
          <w:szCs w:val="24"/>
        </w:rPr>
        <w:t>2</w:t>
      </w:r>
      <w:r w:rsidR="001E7732" w:rsidRPr="00D2439C">
        <w:rPr>
          <w:rFonts w:asciiTheme="minorHAnsi" w:hAnsiTheme="minorHAnsi" w:cstheme="minorHAnsi"/>
          <w:sz w:val="24"/>
          <w:szCs w:val="24"/>
        </w:rPr>
        <w:fldChar w:fldCharType="end"/>
      </w:r>
      <w:r w:rsidR="001E7732" w:rsidRPr="00D2439C">
        <w:rPr>
          <w:rFonts w:asciiTheme="minorHAnsi" w:hAnsiTheme="minorHAnsi" w:cstheme="minorHAnsi"/>
          <w:sz w:val="24"/>
          <w:szCs w:val="24"/>
        </w:rPr>
        <w:t>.</w:t>
      </w:r>
    </w:p>
    <w:p w14:paraId="3F4D042D" w14:textId="77777777" w:rsidR="001E7732" w:rsidRDefault="001E7732" w:rsidP="00316294">
      <w:pPr>
        <w:pStyle w:val="Caption"/>
        <w:rPr>
          <w:rFonts w:asciiTheme="minorHAnsi" w:hAnsiTheme="minorHAnsi" w:cstheme="minorHAnsi"/>
          <w:sz w:val="24"/>
          <w:szCs w:val="24"/>
        </w:rPr>
      </w:pPr>
      <w:bookmarkStart w:id="11" w:name="_Ref501567178"/>
      <w:r>
        <w:t xml:space="preserve">Box </w:t>
      </w:r>
      <w:fldSimple w:instr=" SEQ Box \* ARABIC ">
        <w:r>
          <w:rPr>
            <w:noProof/>
          </w:rPr>
          <w:t>2</w:t>
        </w:r>
      </w:fldSimple>
      <w:bookmarkEnd w:id="11"/>
      <w:r>
        <w:t>. Establishing public-private collaborations: experiences from fostering collaboration between core cities and heat pump manufacturers</w:t>
      </w:r>
    </w:p>
    <w:tbl>
      <w:tblPr>
        <w:tblStyle w:val="TableGrid"/>
        <w:tblW w:w="0" w:type="auto"/>
        <w:tblLook w:val="04A0" w:firstRow="1" w:lastRow="0" w:firstColumn="1" w:lastColumn="0" w:noHBand="0" w:noVBand="1"/>
      </w:tblPr>
      <w:tblGrid>
        <w:gridCol w:w="9572"/>
      </w:tblGrid>
      <w:tr w:rsidR="001E7732" w14:paraId="28876EC6" w14:textId="77777777" w:rsidTr="00D2439C">
        <w:tc>
          <w:tcPr>
            <w:tcW w:w="9572" w:type="dxa"/>
            <w:shd w:val="clear" w:color="auto" w:fill="DBE5F1" w:themeFill="accent1" w:themeFillTint="33"/>
          </w:tcPr>
          <w:p w14:paraId="08A61B67" w14:textId="77777777" w:rsidR="00207D5C" w:rsidRDefault="00207D5C"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Achieving the</w:t>
            </w:r>
            <w:r w:rsidR="00567236">
              <w:rPr>
                <w:rFonts w:asciiTheme="minorHAnsi" w:hAnsiTheme="minorHAnsi" w:cstheme="minorHAnsi"/>
                <w:sz w:val="24"/>
                <w:szCs w:val="24"/>
              </w:rPr>
              <w:t xml:space="preserve"> deployment</w:t>
            </w:r>
            <w:r>
              <w:rPr>
                <w:rFonts w:asciiTheme="minorHAnsi" w:hAnsiTheme="minorHAnsi" w:cstheme="minorHAnsi"/>
                <w:sz w:val="24"/>
                <w:szCs w:val="24"/>
              </w:rPr>
              <w:t xml:space="preserve"> of RH&amp;C technologies necessary to meet city climate goals will require </w:t>
            </w:r>
            <w:r w:rsidR="00567236">
              <w:rPr>
                <w:rFonts w:asciiTheme="minorHAnsi" w:hAnsiTheme="minorHAnsi" w:cstheme="minorHAnsi"/>
                <w:sz w:val="24"/>
                <w:szCs w:val="24"/>
              </w:rPr>
              <w:t xml:space="preserve">a massive market transformation. To date, growth in RH&amp;C adoption (especially ASHPs) has been promising in certain jurisdictions but not yet adequate to meet these goals. Given the </w:t>
            </w:r>
            <w:r w:rsidR="00567236">
              <w:rPr>
                <w:rFonts w:asciiTheme="minorHAnsi" w:hAnsiTheme="minorHAnsi" w:cstheme="minorHAnsi"/>
                <w:sz w:val="24"/>
                <w:szCs w:val="24"/>
              </w:rPr>
              <w:lastRenderedPageBreak/>
              <w:t xml:space="preserve">scale of the challenge, it is likely that city actions alone will be inadequate to drive the market growth necessary. </w:t>
            </w:r>
          </w:p>
          <w:p w14:paraId="6775E4DB" w14:textId="77777777" w:rsidR="001E7732" w:rsidRDefault="00567236" w:rsidP="0011467B">
            <w:pPr>
              <w:pStyle w:val="BodyText"/>
              <w:spacing w:before="120" w:after="120"/>
              <w:rPr>
                <w:rFonts w:asciiTheme="minorHAnsi" w:hAnsiTheme="minorHAnsi" w:cstheme="minorHAnsi"/>
                <w:sz w:val="24"/>
                <w:szCs w:val="24"/>
              </w:rPr>
            </w:pPr>
            <w:r>
              <w:rPr>
                <w:rFonts w:asciiTheme="minorHAnsi" w:hAnsiTheme="minorHAnsi" w:cstheme="minorHAnsi"/>
                <w:sz w:val="24"/>
                <w:szCs w:val="24"/>
              </w:rPr>
              <w:t>As part of their thermal decarbonization projects, the four cities have been exploring opportunities to directly collaborate with heat pump industry actors</w:t>
            </w:r>
            <w:r w:rsidR="004363E8">
              <w:rPr>
                <w:rFonts w:asciiTheme="minorHAnsi" w:hAnsiTheme="minorHAnsi" w:cstheme="minorHAnsi"/>
                <w:sz w:val="24"/>
                <w:szCs w:val="24"/>
              </w:rPr>
              <w:t xml:space="preserve"> to drive market development initiatives. To date, this engagement has focused on </w:t>
            </w:r>
            <w:r>
              <w:rPr>
                <w:rFonts w:asciiTheme="minorHAnsi" w:hAnsiTheme="minorHAnsi" w:cstheme="minorHAnsi"/>
                <w:sz w:val="24"/>
                <w:szCs w:val="24"/>
              </w:rPr>
              <w:t>leading manufacturers of ASHPs and HPWHs.</w:t>
            </w:r>
            <w:r w:rsidR="004363E8">
              <w:rPr>
                <w:rFonts w:asciiTheme="minorHAnsi" w:hAnsiTheme="minorHAnsi" w:cstheme="minorHAnsi"/>
                <w:sz w:val="24"/>
                <w:szCs w:val="24"/>
              </w:rPr>
              <w:t xml:space="preserve"> As described in </w:t>
            </w:r>
            <w:r w:rsidR="004363E8">
              <w:rPr>
                <w:rFonts w:asciiTheme="minorHAnsi" w:hAnsiTheme="minorHAnsi" w:cstheme="minorHAnsi"/>
                <w:sz w:val="24"/>
                <w:szCs w:val="24"/>
              </w:rPr>
              <w:fldChar w:fldCharType="begin"/>
            </w:r>
            <w:r w:rsidR="004363E8">
              <w:rPr>
                <w:rFonts w:asciiTheme="minorHAnsi" w:hAnsiTheme="minorHAnsi" w:cstheme="minorHAnsi"/>
                <w:sz w:val="24"/>
                <w:szCs w:val="24"/>
              </w:rPr>
              <w:instrText xml:space="preserve"> REF _Ref501643691 \h </w:instrText>
            </w:r>
            <w:r w:rsidR="00167EE7">
              <w:rPr>
                <w:rFonts w:asciiTheme="minorHAnsi" w:hAnsiTheme="minorHAnsi" w:cstheme="minorHAnsi"/>
                <w:sz w:val="24"/>
                <w:szCs w:val="24"/>
              </w:rPr>
              <w:instrText xml:space="preserve"> \* MERGEFORMAT </w:instrText>
            </w:r>
            <w:r w:rsidR="004363E8">
              <w:rPr>
                <w:rFonts w:asciiTheme="minorHAnsi" w:hAnsiTheme="minorHAnsi" w:cstheme="minorHAnsi"/>
                <w:sz w:val="24"/>
                <w:szCs w:val="24"/>
              </w:rPr>
            </w:r>
            <w:r w:rsidR="004363E8">
              <w:rPr>
                <w:rFonts w:asciiTheme="minorHAnsi" w:hAnsiTheme="minorHAnsi" w:cstheme="minorHAnsi"/>
                <w:sz w:val="24"/>
                <w:szCs w:val="24"/>
              </w:rPr>
              <w:fldChar w:fldCharType="separate"/>
            </w:r>
            <w:r w:rsidR="004363E8" w:rsidRPr="000B11E8">
              <w:rPr>
                <w:rFonts w:asciiTheme="minorHAnsi" w:hAnsiTheme="minorHAnsi" w:cstheme="minorHAnsi"/>
                <w:sz w:val="24"/>
                <w:szCs w:val="24"/>
              </w:rPr>
              <w:t>Figure 5</w:t>
            </w:r>
            <w:r w:rsidR="004363E8">
              <w:rPr>
                <w:rFonts w:asciiTheme="minorHAnsi" w:hAnsiTheme="minorHAnsi" w:cstheme="minorHAnsi"/>
                <w:sz w:val="24"/>
                <w:szCs w:val="24"/>
              </w:rPr>
              <w:fldChar w:fldCharType="end"/>
            </w:r>
            <w:r w:rsidR="004363E8">
              <w:rPr>
                <w:rFonts w:asciiTheme="minorHAnsi" w:hAnsiTheme="minorHAnsi" w:cstheme="minorHAnsi"/>
                <w:sz w:val="24"/>
                <w:szCs w:val="24"/>
              </w:rPr>
              <w:t xml:space="preserve"> below, </w:t>
            </w:r>
            <w:r w:rsidR="00EB6666">
              <w:rPr>
                <w:rFonts w:asciiTheme="minorHAnsi" w:hAnsiTheme="minorHAnsi" w:cstheme="minorHAnsi"/>
                <w:sz w:val="24"/>
                <w:szCs w:val="24"/>
              </w:rPr>
              <w:t xml:space="preserve">cities and manufacturers have a variety of complementary strengths that can be leveraged to address the challenges each faces in seeking to drive the market, affecting policymaking outside their spheres of control, and competing against incumbent fossil fuel interests. </w:t>
            </w:r>
          </w:p>
          <w:p w14:paraId="30D9865E" w14:textId="77777777" w:rsidR="004363E8" w:rsidRPr="0011467B" w:rsidRDefault="004363E8" w:rsidP="000B11E8">
            <w:pPr>
              <w:pStyle w:val="Caption"/>
              <w:jc w:val="center"/>
              <w:rPr>
                <w:rFonts w:asciiTheme="minorHAnsi" w:hAnsiTheme="minorHAnsi" w:cstheme="minorHAnsi"/>
                <w:sz w:val="24"/>
                <w:szCs w:val="24"/>
              </w:rPr>
            </w:pPr>
            <w:bookmarkStart w:id="12" w:name="_Ref501643691"/>
            <w:r>
              <w:t xml:space="preserve">Figure </w:t>
            </w:r>
            <w:fldSimple w:instr=" SEQ Figure \* ARABIC ">
              <w:r w:rsidR="002F3C61">
                <w:rPr>
                  <w:noProof/>
                </w:rPr>
                <w:t>5</w:t>
              </w:r>
            </w:fldSimple>
            <w:bookmarkEnd w:id="12"/>
            <w:r>
              <w:t>. Complementary strengths between cities and manufacturers</w:t>
            </w:r>
          </w:p>
          <w:p w14:paraId="240491B4" w14:textId="77777777" w:rsidR="00352783" w:rsidRDefault="00352783" w:rsidP="00316294">
            <w:pPr>
              <w:pStyle w:val="BodyText"/>
              <w:keepNext/>
              <w:spacing w:before="120" w:after="120"/>
              <w:jc w:val="center"/>
              <w:rPr>
                <w:rFonts w:asciiTheme="minorHAnsi" w:hAnsiTheme="minorHAnsi" w:cstheme="minorHAnsi"/>
                <w:sz w:val="24"/>
                <w:szCs w:val="24"/>
              </w:rPr>
            </w:pPr>
            <w:r w:rsidRPr="00352783">
              <w:rPr>
                <w:rFonts w:asciiTheme="minorHAnsi" w:hAnsiTheme="minorHAnsi" w:cstheme="minorHAnsi"/>
                <w:noProof/>
                <w:sz w:val="24"/>
                <w:szCs w:val="24"/>
                <w:lang w:eastAsia="en-US"/>
              </w:rPr>
              <w:drawing>
                <wp:inline distT="0" distB="0" distL="0" distR="0" wp14:anchorId="74ABD8D2" wp14:editId="7FA9E2A0">
                  <wp:extent cx="5592725" cy="2199686"/>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00361" cy="2202689"/>
                          </a:xfrm>
                          <a:prstGeom prst="rect">
                            <a:avLst/>
                          </a:prstGeom>
                        </pic:spPr>
                      </pic:pic>
                    </a:graphicData>
                  </a:graphic>
                </wp:inline>
              </w:drawing>
            </w:r>
          </w:p>
          <w:p w14:paraId="5E5659CA" w14:textId="77777777" w:rsidR="007C6155" w:rsidRDefault="007C6155" w:rsidP="00316294">
            <w:pPr>
              <w:pStyle w:val="BodyText"/>
              <w:keepNext/>
              <w:spacing w:before="120" w:after="120"/>
              <w:rPr>
                <w:rFonts w:asciiTheme="minorHAnsi" w:hAnsiTheme="minorHAnsi" w:cstheme="minorHAnsi"/>
                <w:sz w:val="24"/>
                <w:szCs w:val="24"/>
              </w:rPr>
            </w:pPr>
            <w:r>
              <w:rPr>
                <w:rFonts w:asciiTheme="minorHAnsi" w:hAnsiTheme="minorHAnsi" w:cstheme="minorHAnsi"/>
                <w:sz w:val="24"/>
                <w:szCs w:val="24"/>
              </w:rPr>
              <w:t xml:space="preserve">A focus on establishing public-private collaborations is not new within the renewable energy sector: the remarkable, explosive growth in solar PV deployment </w:t>
            </w:r>
            <w:r w:rsidR="000B5990">
              <w:rPr>
                <w:rFonts w:asciiTheme="minorHAnsi" w:hAnsiTheme="minorHAnsi" w:cstheme="minorHAnsi"/>
                <w:sz w:val="24"/>
                <w:szCs w:val="24"/>
              </w:rPr>
              <w:t xml:space="preserve">has been driven with support from high-level public-private collaborations between federal/state governments and the private sector to drive innovations and cost reductions (e.g. the U.S. Dept. of Energy’s </w:t>
            </w:r>
            <w:proofErr w:type="spellStart"/>
            <w:r w:rsidR="000B5990">
              <w:rPr>
                <w:rFonts w:asciiTheme="minorHAnsi" w:hAnsiTheme="minorHAnsi" w:cstheme="minorHAnsi"/>
                <w:sz w:val="24"/>
                <w:szCs w:val="24"/>
              </w:rPr>
              <w:t>SunShot</w:t>
            </w:r>
            <w:proofErr w:type="spellEnd"/>
            <w:r w:rsidR="000B5990">
              <w:rPr>
                <w:rFonts w:asciiTheme="minorHAnsi" w:hAnsiTheme="minorHAnsi" w:cstheme="minorHAnsi"/>
                <w:sz w:val="24"/>
                <w:szCs w:val="24"/>
              </w:rPr>
              <w:t xml:space="preserve"> Initiative). Similar collaborations at the local level could serve to build momentum for market development initiatives and provide necessary technical assistance to support city initiatives.</w:t>
            </w:r>
          </w:p>
          <w:p w14:paraId="31BF8B73" w14:textId="77777777" w:rsidR="00EB6666" w:rsidRDefault="00EB6666" w:rsidP="00316294">
            <w:pPr>
              <w:pStyle w:val="BodyText"/>
              <w:keepNext/>
              <w:spacing w:before="120" w:after="120"/>
              <w:rPr>
                <w:rFonts w:asciiTheme="minorHAnsi" w:hAnsiTheme="minorHAnsi" w:cstheme="minorHAnsi"/>
                <w:sz w:val="24"/>
                <w:szCs w:val="24"/>
              </w:rPr>
            </w:pPr>
            <w:r>
              <w:rPr>
                <w:rFonts w:asciiTheme="minorHAnsi" w:hAnsiTheme="minorHAnsi" w:cstheme="minorHAnsi"/>
                <w:sz w:val="24"/>
                <w:szCs w:val="24"/>
              </w:rPr>
              <w:t>Since 2016, the four cities have undertaken several actions to facilitate the establishment of public-private collaborations to drive market development:</w:t>
            </w:r>
          </w:p>
          <w:p w14:paraId="1C55984A" w14:textId="77777777" w:rsidR="00EB6666" w:rsidRDefault="00E84540" w:rsidP="00316294">
            <w:pPr>
              <w:pStyle w:val="BodyText"/>
              <w:keepNext/>
              <w:numPr>
                <w:ilvl w:val="0"/>
                <w:numId w:val="41"/>
              </w:numPr>
              <w:spacing w:before="120" w:after="120"/>
              <w:rPr>
                <w:rFonts w:asciiTheme="minorHAnsi" w:hAnsiTheme="minorHAnsi" w:cstheme="minorHAnsi"/>
                <w:sz w:val="24"/>
                <w:szCs w:val="24"/>
              </w:rPr>
            </w:pPr>
            <w:r>
              <w:rPr>
                <w:rFonts w:asciiTheme="minorHAnsi" w:hAnsiTheme="minorHAnsi" w:cstheme="minorHAnsi"/>
                <w:b/>
                <w:sz w:val="24"/>
                <w:szCs w:val="24"/>
              </w:rPr>
              <w:t xml:space="preserve">Going to Scale 2016. </w:t>
            </w:r>
            <w:r w:rsidR="00EB6666" w:rsidRPr="00E84540">
              <w:rPr>
                <w:rFonts w:asciiTheme="minorHAnsi" w:hAnsiTheme="minorHAnsi" w:cstheme="minorHAnsi"/>
                <w:sz w:val="24"/>
                <w:szCs w:val="24"/>
              </w:rPr>
              <w:t xml:space="preserve">In </w:t>
            </w:r>
            <w:r>
              <w:rPr>
                <w:rFonts w:asciiTheme="minorHAnsi" w:hAnsiTheme="minorHAnsi" w:cstheme="minorHAnsi"/>
                <w:sz w:val="24"/>
                <w:szCs w:val="24"/>
              </w:rPr>
              <w:t xml:space="preserve">September </w:t>
            </w:r>
            <w:r w:rsidR="00EB6666" w:rsidRPr="00E84540">
              <w:rPr>
                <w:rFonts w:asciiTheme="minorHAnsi" w:hAnsiTheme="minorHAnsi" w:cstheme="minorHAnsi"/>
                <w:sz w:val="24"/>
                <w:szCs w:val="24"/>
              </w:rPr>
              <w:t xml:space="preserve">2016, the Rockefeller Brothers Fund convened a “Going to Scale” summit in New York City. Led by the four cities as well as Boston and San Francisco, this summit was attended by representatives from nine leading ASHP and HPWH manufacturers, as well as </w:t>
            </w:r>
            <w:r w:rsidRPr="00E84540">
              <w:rPr>
                <w:rFonts w:asciiTheme="minorHAnsi" w:hAnsiTheme="minorHAnsi" w:cstheme="minorHAnsi"/>
                <w:sz w:val="24"/>
                <w:szCs w:val="24"/>
              </w:rPr>
              <w:t>foundations, non-profits, and consultants.</w:t>
            </w:r>
            <w:r w:rsidR="00EB6666">
              <w:rPr>
                <w:rFonts w:asciiTheme="minorHAnsi" w:hAnsiTheme="minorHAnsi" w:cstheme="minorHAnsi"/>
                <w:sz w:val="24"/>
                <w:szCs w:val="24"/>
              </w:rPr>
              <w:t xml:space="preserve"> This summit focused on pathways to achieve deep decarbonization in the heating and cooling sectors and discussed opportunities for collaboration and market development.</w:t>
            </w:r>
          </w:p>
          <w:p w14:paraId="1AC01CBC" w14:textId="77777777" w:rsidR="00E84540" w:rsidRDefault="00E84540" w:rsidP="00316294">
            <w:pPr>
              <w:pStyle w:val="BodyText"/>
              <w:keepNext/>
              <w:numPr>
                <w:ilvl w:val="0"/>
                <w:numId w:val="41"/>
              </w:numPr>
              <w:spacing w:before="120" w:after="120"/>
              <w:rPr>
                <w:rFonts w:asciiTheme="minorHAnsi" w:hAnsiTheme="minorHAnsi" w:cstheme="minorHAnsi"/>
                <w:sz w:val="24"/>
                <w:szCs w:val="24"/>
              </w:rPr>
            </w:pPr>
            <w:r>
              <w:rPr>
                <w:rFonts w:asciiTheme="minorHAnsi" w:hAnsiTheme="minorHAnsi" w:cstheme="minorHAnsi"/>
                <w:b/>
                <w:sz w:val="24"/>
                <w:szCs w:val="24"/>
              </w:rPr>
              <w:t xml:space="preserve">Thermal Decarbonization Initiative – Phase 2. </w:t>
            </w:r>
            <w:r>
              <w:rPr>
                <w:rFonts w:asciiTheme="minorHAnsi" w:hAnsiTheme="minorHAnsi" w:cstheme="minorHAnsi"/>
                <w:sz w:val="24"/>
                <w:szCs w:val="24"/>
              </w:rPr>
              <w:t xml:space="preserve">In September 2017, the four cities were awarded a grant from the Carbon Neutral Cities Alliance (CNCA) to build on work completed in this project to design and/or implement pilot programs to grow customer demand, engage the industry supply chain, and foster development of new partnerships with key stakeholders. As part of this project, the four cities will directly collaborate with </w:t>
            </w:r>
            <w:r>
              <w:rPr>
                <w:rFonts w:asciiTheme="minorHAnsi" w:hAnsiTheme="minorHAnsi" w:cstheme="minorHAnsi"/>
                <w:sz w:val="24"/>
                <w:szCs w:val="24"/>
              </w:rPr>
              <w:lastRenderedPageBreak/>
              <w:t xml:space="preserve">Mitsubishi Electric to test opportunities for working with manufacturers on designing and implementing market development initiatives. </w:t>
            </w:r>
          </w:p>
          <w:p w14:paraId="571B2792" w14:textId="77777777" w:rsidR="00E84540" w:rsidRPr="007C6155" w:rsidRDefault="00E84540" w:rsidP="00316294">
            <w:pPr>
              <w:pStyle w:val="BodyText"/>
              <w:keepNext/>
              <w:numPr>
                <w:ilvl w:val="0"/>
                <w:numId w:val="41"/>
              </w:numPr>
              <w:spacing w:before="120" w:after="120"/>
              <w:rPr>
                <w:rFonts w:asciiTheme="minorHAnsi" w:hAnsiTheme="minorHAnsi" w:cstheme="minorHAnsi"/>
                <w:sz w:val="24"/>
                <w:szCs w:val="24"/>
              </w:rPr>
            </w:pPr>
            <w:r w:rsidRPr="007C6155">
              <w:rPr>
                <w:rFonts w:asciiTheme="minorHAnsi" w:hAnsiTheme="minorHAnsi" w:cstheme="minorHAnsi"/>
                <w:b/>
                <w:sz w:val="24"/>
                <w:szCs w:val="24"/>
              </w:rPr>
              <w:t xml:space="preserve">Going to Scale 2017. </w:t>
            </w:r>
            <w:r w:rsidRPr="007C6155">
              <w:rPr>
                <w:rFonts w:asciiTheme="minorHAnsi" w:hAnsiTheme="minorHAnsi" w:cstheme="minorHAnsi"/>
                <w:sz w:val="24"/>
                <w:szCs w:val="24"/>
              </w:rPr>
              <w:t>In October 2017, the Rockefeller Brothers Fund convened a second annual “Going to Scale” summit in San Diego. In addition to the</w:t>
            </w:r>
            <w:r w:rsidR="007C6155" w:rsidRPr="007C6155">
              <w:rPr>
                <w:rFonts w:asciiTheme="minorHAnsi" w:hAnsiTheme="minorHAnsi" w:cstheme="minorHAnsi"/>
                <w:sz w:val="24"/>
                <w:szCs w:val="24"/>
              </w:rPr>
              <w:t xml:space="preserve"> six cities who participated in the 2016 summit,</w:t>
            </w:r>
            <w:r w:rsidR="007C6155" w:rsidRPr="00316294">
              <w:rPr>
                <w:rFonts w:asciiTheme="minorHAnsi" w:hAnsiTheme="minorHAnsi" w:cstheme="minorHAnsi"/>
                <w:sz w:val="24"/>
                <w:szCs w:val="24"/>
              </w:rPr>
              <w:t xml:space="preserve"> the 2017 summit was attended by representatives from eight manufacturers, 11 additional cities, 11 foundations/non-profits, and 2 state/federal agencies. This summit focused on providing an opportunity for leading cities to share updates on progress to date and discuss best practices and next steps for city action; exploring specific opportunities, barriers, and ground rules for establishing collaborations between public, private, and non-profit entities to drive joint market development initiatives; and</w:t>
            </w:r>
            <w:r w:rsidR="007C6155">
              <w:rPr>
                <w:rFonts w:asciiTheme="minorHAnsi" w:hAnsiTheme="minorHAnsi" w:cstheme="minorHAnsi"/>
                <w:sz w:val="24"/>
                <w:szCs w:val="24"/>
              </w:rPr>
              <w:t xml:space="preserve"> d</w:t>
            </w:r>
            <w:r w:rsidR="007C6155" w:rsidRPr="007C6155">
              <w:rPr>
                <w:rFonts w:asciiTheme="minorHAnsi" w:hAnsiTheme="minorHAnsi" w:cstheme="minorHAnsi"/>
                <w:sz w:val="24"/>
                <w:szCs w:val="24"/>
              </w:rPr>
              <w:t xml:space="preserve">iscussing needs and considerations for developing a nationwide technical assistance platform for supporting city </w:t>
            </w:r>
            <w:r w:rsidR="007C6155">
              <w:rPr>
                <w:rFonts w:asciiTheme="minorHAnsi" w:hAnsiTheme="minorHAnsi" w:cstheme="minorHAnsi"/>
                <w:sz w:val="24"/>
                <w:szCs w:val="24"/>
              </w:rPr>
              <w:t xml:space="preserve">initiatives </w:t>
            </w:r>
            <w:r w:rsidR="007C6155" w:rsidRPr="007C6155">
              <w:rPr>
                <w:rFonts w:asciiTheme="minorHAnsi" w:hAnsiTheme="minorHAnsi" w:cstheme="minorHAnsi"/>
                <w:sz w:val="24"/>
                <w:szCs w:val="24"/>
              </w:rPr>
              <w:t xml:space="preserve">and facilitating collaboration </w:t>
            </w:r>
            <w:r w:rsidR="007C6155">
              <w:rPr>
                <w:rFonts w:asciiTheme="minorHAnsi" w:hAnsiTheme="minorHAnsi" w:cstheme="minorHAnsi"/>
                <w:sz w:val="24"/>
                <w:szCs w:val="24"/>
              </w:rPr>
              <w:t xml:space="preserve">between </w:t>
            </w:r>
            <w:r w:rsidR="007C6155" w:rsidRPr="007C6155">
              <w:rPr>
                <w:rFonts w:asciiTheme="minorHAnsi" w:hAnsiTheme="minorHAnsi" w:cstheme="minorHAnsi"/>
                <w:sz w:val="24"/>
                <w:szCs w:val="24"/>
              </w:rPr>
              <w:t>stakeholder groups.</w:t>
            </w:r>
          </w:p>
          <w:p w14:paraId="47C9EC9F" w14:textId="77777777" w:rsidR="00E84540" w:rsidRDefault="000B5990" w:rsidP="00316294">
            <w:pPr>
              <w:pStyle w:val="BodyText"/>
              <w:keepNext/>
              <w:spacing w:before="120" w:after="120"/>
              <w:rPr>
                <w:rFonts w:asciiTheme="minorHAnsi" w:hAnsiTheme="minorHAnsi" w:cstheme="minorHAnsi"/>
                <w:sz w:val="24"/>
                <w:szCs w:val="24"/>
              </w:rPr>
            </w:pPr>
            <w:r>
              <w:rPr>
                <w:rFonts w:asciiTheme="minorHAnsi" w:hAnsiTheme="minorHAnsi" w:cstheme="minorHAnsi"/>
                <w:sz w:val="24"/>
                <w:szCs w:val="24"/>
              </w:rPr>
              <w:t>Going into 2018, the four cities will continue to design and implement pilot programs as part of the CNCA grant, as well as build on momentum from the October summit to mobilize a broader network of cities and manufacturers to build a broader nationwide platform for supporting local market development.</w:t>
            </w:r>
          </w:p>
        </w:tc>
      </w:tr>
    </w:tbl>
    <w:p w14:paraId="4861A011" w14:textId="1DE41D40" w:rsidR="00CB13C0" w:rsidRPr="00991E09" w:rsidRDefault="00CB13C0" w:rsidP="00991E09">
      <w:pPr>
        <w:spacing w:after="200" w:line="276" w:lineRule="auto"/>
        <w:rPr>
          <w:caps/>
          <w:color w:val="009FDA"/>
          <w:sz w:val="26"/>
        </w:rPr>
      </w:pPr>
    </w:p>
    <w:sectPr w:rsidR="00CB13C0" w:rsidRPr="00991E09" w:rsidSect="00C84476">
      <w:headerReference w:type="even" r:id="rId38"/>
      <w:headerReference w:type="default" r:id="rId39"/>
      <w:footerReference w:type="even" r:id="rId40"/>
      <w:footerReference w:type="default" r:id="rId41"/>
      <w:headerReference w:type="first" r:id="rId42"/>
      <w:footerReference w:type="first" r:id="rId43"/>
      <w:pgSz w:w="11907" w:h="16839"/>
      <w:pgMar w:top="1757" w:right="1134" w:bottom="1361" w:left="1191" w:header="774" w:footer="567" w:gutter="0"/>
      <w:pgNumType w:start="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11"/>
    </wne:keymap>
    <wne:keymap wne:kcmPrimary="0232">
      <wne:acd wne:acdName="acd12"/>
    </wne:keymap>
    <wne:keymap wne:kcmPrimary="0233">
      <wne:acd wne:acdName="acd13"/>
    </wne:keymap>
    <wne:keymap wne:kcmPrimary="0234">
      <wne:acd wne:acdName="acd5"/>
    </wne:keymap>
    <wne:keymap wne:kcmPrimary="0235">
      <wne:acd wne:acdName="acd6"/>
    </wne:keymap>
    <wne:keymap wne:kcmPrimary="0236">
      <wne:acd wne:acdName="acd7"/>
    </wne:keymap>
    <wne:keymap wne:kcmPrimary="0237">
      <wne:acd wne:acdName="acd8"/>
    </wne:keymap>
    <wne:keymap wne:kcmPrimary="0238">
      <wne:acd wne:acdName="acd9"/>
    </wne:keymap>
    <wne:keymap wne:kcmPrimary="0239">
      <wne:acd wne:acdName="acd10"/>
    </wne:keymap>
    <wne:keymap wne:kcmPrimary="0342">
      <wne:acd wne:acdName="acd1"/>
    </wne:keymap>
    <wne:keymap wne:kcmPrimary="034E">
      <wne:acd wne:acdName="acd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Manifest>
  </wne:toolbars>
  <wne:acds>
    <wne:acd wne:argValue="AQAAAAAA" wne:acdName="acd0" wne:fciIndexBasedOn="0065"/>
    <wne:acd wne:argValue="AQAAAEIA" wne:acdName="acd1" wne:fciIndexBasedOn="0065"/>
    <wne:acd wne:acdName="acd2" wne:fciIndexBasedOn="0065"/>
    <wne:acd wne:acdName="acd3" wne:fciIndexBasedOn="0065"/>
    <wne:acd wne:acdName="acd4" wne:fciIndexBasedOn="0065"/>
    <wne:acd wne:argValue="AQAAAAQA" wne:acdName="acd5" wne:fciIndexBasedOn="0065"/>
    <wne:acd wne:argValue="AQAAAAUA" wne:acdName="acd6" wne:fciIndexBasedOn="0065"/>
    <wne:acd wne:argValue="AQAAAAYA" wne:acdName="acd7" wne:fciIndexBasedOn="0065"/>
    <wne:acd wne:argValue="AQAAAAcA" wne:acdName="acd8" wne:fciIndexBasedOn="0065"/>
    <wne:acd wne:argValue="AQAAAAgA" wne:acdName="acd9" wne:fciIndexBasedOn="0065"/>
    <wne:acd wne:argValue="AQAAAAkA" wne:acdName="acd10" wne:fciIndexBasedOn="0065"/>
    <wne:acd wne:argValue="AgBIAGUAYQBkAGkAbgBnACAAMQAsAEcASAAgAC0AIABIAGUAYQBkAGkAbgBnACAAMQA=" wne:acdName="acd11" wne:fciIndexBasedOn="0065"/>
    <wne:acd wne:argValue="AgBIAGUAYQBkAGkAbgBnACAAMgAsAEcASAAgAC0AIABIAGUAYQBkAGkAbgBnACAAMgA=" wne:acdName="acd12" wne:fciIndexBasedOn="0065"/>
    <wne:acd wne:argValue="AgBIAGUAYQBkAGkAbgBnACAAMwAsAEcASAAgAC0AIABIAGUAYQBkAGkAbgBnACAAMwA=" wne:acdName="acd13" wne:fciIndexBasedOn="0065"/>
  </wne:acd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71D2E8" w14:textId="77777777" w:rsidR="00F20EDA" w:rsidRDefault="00F20EDA">
      <w:r>
        <w:separator/>
      </w:r>
    </w:p>
  </w:endnote>
  <w:endnote w:type="continuationSeparator" w:id="0">
    <w:p w14:paraId="5FEA1C1B" w14:textId="77777777" w:rsidR="00F20EDA" w:rsidRDefault="00F20E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swiss"/>
    <w:pitch w:val="fixed"/>
    <w:sig w:usb0="E10002FF" w:usb1="4000FCFF" w:usb2="00000009" w:usb3="00000000" w:csb0="0000019F" w:csb1="00000000"/>
  </w:font>
  <w:font w:name="Century Gothic">
    <w:panose1 w:val="020B0502020202020204"/>
    <w:charset w:val="00"/>
    <w:family w:val="roman"/>
    <w:pitch w:val="variable"/>
    <w:sig w:usb0="00000287" w:usb1="00000000" w:usb2="00000000" w:usb3="00000000" w:csb0="0000009F" w:csb1="00000000"/>
  </w:font>
  <w:font w:name="Segoe UI Light">
    <w:charset w:val="00"/>
    <w:family w:val="swiss"/>
    <w:pitch w:val="variable"/>
    <w:sig w:usb0="E4002EFF" w:usb1="C000E47F" w:usb2="00000009" w:usb3="00000000" w:csb0="000001FF" w:csb1="00000000"/>
  </w:font>
  <w:font w:name="Open Sans Condensed">
    <w:altName w:val="Arial"/>
    <w:charset w:val="00"/>
    <w:family w:val="swiss"/>
    <w:pitch w:val="variable"/>
    <w:sig w:usb0="E00002EF" w:usb1="4000205B" w:usb2="00000028" w:usb3="00000000" w:csb0="0000019F" w:csb1="00000000"/>
  </w:font>
  <w:font w:name="Calibri Light">
    <w:panose1 w:val="020F0302020204030204"/>
    <w:charset w:val="00"/>
    <w:family w:val="swiss"/>
    <w:pitch w:val="variable"/>
    <w:sig w:usb0="A00002EF" w:usb1="4000207B" w:usb2="00000000" w:usb3="00000000" w:csb0="0000019F" w:csb1="00000000"/>
  </w:font>
  <w:font w:name="Segoe UI Semilight">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D03328" w14:paraId="2DB592BF" w14:textId="77777777" w:rsidTr="008F159E">
      <w:tc>
        <w:tcPr>
          <w:tcW w:w="6311" w:type="dxa"/>
          <w:tcBorders>
            <w:top w:val="single" w:sz="2" w:space="0" w:color="009FDA"/>
          </w:tcBorders>
          <w:shd w:val="clear" w:color="auto" w:fill="auto"/>
          <w:vAlign w:val="bottom"/>
        </w:tcPr>
        <w:p w14:paraId="105C81C6" w14:textId="77777777" w:rsidR="00D03328" w:rsidRPr="003F3A84" w:rsidRDefault="00D03328" w:rsidP="008F159E">
          <w:pPr>
            <w:pStyle w:val="Footer"/>
          </w:pPr>
        </w:p>
      </w:tc>
      <w:tc>
        <w:tcPr>
          <w:tcW w:w="227" w:type="dxa"/>
          <w:tcBorders>
            <w:top w:val="single" w:sz="2" w:space="0" w:color="009FDA"/>
          </w:tcBorders>
          <w:shd w:val="clear" w:color="auto" w:fill="auto"/>
        </w:tcPr>
        <w:p w14:paraId="47EB538F" w14:textId="77777777" w:rsidR="00D03328" w:rsidRPr="003F3A84" w:rsidRDefault="00D03328" w:rsidP="008F159E">
          <w:pPr>
            <w:pStyle w:val="Footer"/>
          </w:pPr>
        </w:p>
      </w:tc>
      <w:tc>
        <w:tcPr>
          <w:tcW w:w="3045" w:type="dxa"/>
          <w:tcBorders>
            <w:top w:val="single" w:sz="2" w:space="0" w:color="009FDA"/>
          </w:tcBorders>
          <w:shd w:val="clear" w:color="auto" w:fill="auto"/>
          <w:vAlign w:val="bottom"/>
        </w:tcPr>
        <w:p w14:paraId="29F16B7E" w14:textId="77777777" w:rsidR="00D03328" w:rsidRPr="003F3A84" w:rsidRDefault="00D03328" w:rsidP="008F159E">
          <w:pPr>
            <w:pStyle w:val="Footer"/>
            <w:jc w:val="right"/>
          </w:pPr>
          <w:r w:rsidRPr="003F3A84">
            <w:fldChar w:fldCharType="begin"/>
          </w:r>
          <w:r w:rsidRPr="003F3A84">
            <w:instrText xml:space="preserve"> FILENAME </w:instrText>
          </w:r>
          <w:r w:rsidRPr="003F3A84">
            <w:fldChar w:fldCharType="separate"/>
          </w:r>
          <w:r w:rsidR="000B11E8">
            <w:t>RHC best practice ACTION  guide draft v2 12-21-17_clean_LTedits</w:t>
          </w:r>
          <w:r w:rsidRPr="003F3A84">
            <w:fldChar w:fldCharType="end"/>
          </w:r>
        </w:p>
      </w:tc>
    </w:tr>
  </w:tbl>
  <w:p w14:paraId="29CB784A" w14:textId="77777777" w:rsidR="00D03328" w:rsidRDefault="00D0332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70552169"/>
      <w:docPartObj>
        <w:docPartGallery w:val="Page Numbers (Bottom of Page)"/>
        <w:docPartUnique/>
      </w:docPartObj>
    </w:sdtPr>
    <w:sdtEndPr>
      <w:rPr>
        <w:noProof/>
        <w:color w:val="7F7F7F" w:themeColor="background1" w:themeShade="7F"/>
        <w:spacing w:val="60"/>
      </w:rPr>
    </w:sdtEndPr>
    <w:sdtContent>
      <w:p w14:paraId="0C9E0361" w14:textId="77777777" w:rsidR="00B002CB" w:rsidRDefault="00B002CB">
        <w:pPr>
          <w:pStyle w:val="Footer"/>
          <w:pBdr>
            <w:top w:val="single" w:sz="4" w:space="1" w:color="D9D9D9" w:themeColor="background1" w:themeShade="D9"/>
          </w:pBdr>
          <w:jc w:val="right"/>
        </w:pPr>
        <w:r>
          <w:rPr>
            <w:noProof w:val="0"/>
          </w:rPr>
          <w:fldChar w:fldCharType="begin"/>
        </w:r>
        <w:r>
          <w:instrText xml:space="preserve"> PAGE   \* MERGEFORMAT </w:instrText>
        </w:r>
        <w:r>
          <w:rPr>
            <w:noProof w:val="0"/>
          </w:rPr>
          <w:fldChar w:fldCharType="separate"/>
        </w:r>
        <w:r w:rsidR="00FF5ED9">
          <w:t>3</w:t>
        </w:r>
        <w:r>
          <w:fldChar w:fldCharType="end"/>
        </w:r>
        <w:r>
          <w:t xml:space="preserve"> | </w:t>
        </w:r>
        <w:r>
          <w:rPr>
            <w:color w:val="7F7F7F" w:themeColor="background1" w:themeShade="7F"/>
            <w:spacing w:val="60"/>
          </w:rPr>
          <w:t>Page</w:t>
        </w:r>
      </w:p>
    </w:sdtContent>
  </w:sdt>
  <w:p w14:paraId="24F45E35" w14:textId="77777777" w:rsidR="00B002CB" w:rsidRDefault="00B002CB">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315B9" w14:textId="77777777" w:rsidR="00D03328" w:rsidRDefault="00D03328" w:rsidP="008F159E">
    <w:pPr>
      <w:pStyle w:val="DNVGL-HQDetails"/>
    </w:pPr>
    <w:r w:rsidRPr="00EA4F5E">
      <w:t>DNV GL Headquarters, Veritasveien 1, P.O.Box 300, 1322 Høvik, Norway. Tel: +47 67 57 99 00. www.dnvgl.com</w:t>
    </w:r>
  </w:p>
  <w:tbl>
    <w:tblPr>
      <w:tblW w:w="5000" w:type="pct"/>
      <w:tblLayout w:type="fixed"/>
      <w:tblCellMar>
        <w:left w:w="0" w:type="dxa"/>
        <w:right w:w="0" w:type="dxa"/>
      </w:tblCellMar>
      <w:tblLook w:val="04A0" w:firstRow="1" w:lastRow="0" w:firstColumn="1" w:lastColumn="0" w:noHBand="0" w:noVBand="1"/>
    </w:tblPr>
    <w:tblGrid>
      <w:gridCol w:w="6310"/>
      <w:gridCol w:w="227"/>
      <w:gridCol w:w="3045"/>
    </w:tblGrid>
    <w:tr w:rsidR="00D03328" w14:paraId="14631BAF" w14:textId="77777777" w:rsidTr="008F159E">
      <w:tc>
        <w:tcPr>
          <w:tcW w:w="6311" w:type="dxa"/>
          <w:tcBorders>
            <w:top w:val="single" w:sz="2" w:space="0" w:color="009FDA"/>
          </w:tcBorders>
          <w:shd w:val="clear" w:color="auto" w:fill="auto"/>
          <w:vAlign w:val="bottom"/>
        </w:tcPr>
        <w:p w14:paraId="68C55E27" w14:textId="77777777" w:rsidR="00D03328" w:rsidRPr="003F3A84" w:rsidRDefault="00F20EDA" w:rsidP="008F159E">
          <w:pPr>
            <w:pStyle w:val="Footer"/>
          </w:pPr>
          <w:sdt>
            <w:sdtPr>
              <w:tag w:val="DgLegalInformation01"/>
              <w:id w:val="590974587"/>
              <w:showingPlcHdr/>
              <w:dataBinding w:xpath="//Tag[@name='DgLegalInformation01']" w:storeItemID="{7CD7D43C-D927-4FDE-90C3-5A0617653996}"/>
              <w:text w:multiLine="1"/>
            </w:sdtPr>
            <w:sdtEndPr/>
            <w:sdtContent>
              <w:r w:rsidR="00D03328" w:rsidRPr="00AB07EF">
                <w:rPr>
                  <w:rStyle w:val="PlaceholderText"/>
                </w:rPr>
                <w:t>[Legal information]</w:t>
              </w:r>
            </w:sdtContent>
          </w:sdt>
        </w:p>
      </w:tc>
      <w:tc>
        <w:tcPr>
          <w:tcW w:w="227" w:type="dxa"/>
          <w:tcBorders>
            <w:top w:val="single" w:sz="2" w:space="0" w:color="009FDA"/>
          </w:tcBorders>
          <w:shd w:val="clear" w:color="auto" w:fill="auto"/>
        </w:tcPr>
        <w:p w14:paraId="76B9F96C" w14:textId="77777777" w:rsidR="00D03328" w:rsidRPr="003F3A84" w:rsidRDefault="00D03328" w:rsidP="008F159E">
          <w:pPr>
            <w:pStyle w:val="Footer"/>
          </w:pPr>
        </w:p>
      </w:tc>
      <w:tc>
        <w:tcPr>
          <w:tcW w:w="3045" w:type="dxa"/>
          <w:tcBorders>
            <w:top w:val="single" w:sz="2" w:space="0" w:color="009FDA"/>
          </w:tcBorders>
          <w:shd w:val="clear" w:color="auto" w:fill="auto"/>
          <w:vAlign w:val="bottom"/>
        </w:tcPr>
        <w:p w14:paraId="57A29CB8" w14:textId="77777777" w:rsidR="00D03328" w:rsidRPr="003F3A84" w:rsidRDefault="00D03328" w:rsidP="008F159E">
          <w:pPr>
            <w:pStyle w:val="Footer"/>
            <w:jc w:val="right"/>
          </w:pPr>
          <w:r w:rsidRPr="003F3A84">
            <w:fldChar w:fldCharType="begin"/>
          </w:r>
          <w:r w:rsidRPr="003F3A84">
            <w:instrText xml:space="preserve"> FILENAME </w:instrText>
          </w:r>
          <w:r w:rsidRPr="003F3A84">
            <w:fldChar w:fldCharType="separate"/>
          </w:r>
          <w:r w:rsidR="000B11E8">
            <w:t>RHC best practice ACTION  guide draft v2 12-21-17_clean_LTedits</w:t>
          </w:r>
          <w:r w:rsidRPr="003F3A84">
            <w:fldChar w:fldCharType="end"/>
          </w:r>
        </w:p>
      </w:tc>
    </w:tr>
  </w:tbl>
  <w:p w14:paraId="3929BE13" w14:textId="77777777" w:rsidR="00D03328" w:rsidRDefault="00D0332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5E4489" w14:textId="77777777" w:rsidR="00F20EDA" w:rsidRDefault="00F20EDA">
      <w:r>
        <w:separator/>
      </w:r>
    </w:p>
  </w:footnote>
  <w:footnote w:type="continuationSeparator" w:id="0">
    <w:p w14:paraId="230BC0E9" w14:textId="77777777" w:rsidR="00F20EDA" w:rsidRDefault="00F20EDA">
      <w:r>
        <w:continuationSeparator/>
      </w:r>
    </w:p>
  </w:footnote>
  <w:footnote w:id="1">
    <w:p w14:paraId="3BAC3F94" w14:textId="77777777" w:rsidR="006A2805" w:rsidRPr="0001596E" w:rsidRDefault="006A2805" w:rsidP="006A2805">
      <w:pPr>
        <w:pStyle w:val="FootnoteText"/>
      </w:pPr>
      <w:r>
        <w:rPr>
          <w:rStyle w:val="FootnoteReference"/>
        </w:rPr>
        <w:footnoteRef/>
      </w:r>
      <w:r>
        <w:t xml:space="preserve"> As an immediate follow-up to this work, the four cities received grant funding from the Carbon Neutral Cities Alliance to develop Phase 2 of the “Thermal Decarbonization Initiative.” To facilitate public-private partnership formation and support additional observer city network development, the Project Team convened the “</w:t>
      </w:r>
      <w:r w:rsidRPr="0001596E">
        <w:t>Going to Scale: City-Industry Cooperation for Renewable Heating and Cooling (RH&amp;C</w:t>
      </w:r>
      <w:r>
        <w:t xml:space="preserve">)” in October 2017, </w:t>
      </w:r>
      <w:r w:rsidRPr="007C289C">
        <w:t>which was attended by representatives from 17 cities, 8 heat pump manufacturers, 11 foundations and non-profits, 2 state/federal agencies, and other supporting consultants.</w:t>
      </w:r>
    </w:p>
  </w:footnote>
  <w:footnote w:id="2">
    <w:p w14:paraId="5A0FD88C" w14:textId="77777777" w:rsidR="00D03328" w:rsidRPr="00582FB1" w:rsidRDefault="00D03328">
      <w:pPr>
        <w:pStyle w:val="FootnoteText"/>
      </w:pPr>
      <w:r>
        <w:rPr>
          <w:rStyle w:val="FootnoteReference"/>
        </w:rPr>
        <w:footnoteRef/>
      </w:r>
      <w:r>
        <w:t xml:space="preserve"> In particular, under current market conditions, heat pump technologies are not cost-competitive against natural gas. While heat pumps can offer additional benefits to the community beyond GHG reductions (e.g. improved indoor air quality, access to cooling), under the current policy landscape (e.g. no carbon pricing, incentives for natural gas conversion and extraction) and economic conditions, thermal decarbonization of gas-dominated cities will be challenging. To date, most heating-focused installations of heat pump technologies have typically focused on customers using higher-cost heating fuels (e.g. oil, propane, electric resistance). </w:t>
      </w:r>
    </w:p>
  </w:footnote>
  <w:footnote w:id="3">
    <w:p w14:paraId="2CF34D26" w14:textId="77777777" w:rsidR="00D03328" w:rsidRPr="00582FB1" w:rsidRDefault="00D03328">
      <w:pPr>
        <w:pStyle w:val="FootnoteText"/>
      </w:pPr>
      <w:r>
        <w:rPr>
          <w:rStyle w:val="FootnoteReference"/>
        </w:rPr>
        <w:footnoteRef/>
      </w:r>
      <w:r>
        <w:t xml:space="preserve"> For more information, see: Synapse Energy Economics and Meister Consultants Group. (2017). Northeastern Regional Assessment of Strategic Electrification. Prepared for the Northeast Energy Efficiency Partnerships.</w:t>
      </w:r>
    </w:p>
  </w:footnote>
  <w:footnote w:id="4">
    <w:p w14:paraId="0CE37FED" w14:textId="77777777" w:rsidR="00D03328" w:rsidRPr="00582FB1" w:rsidRDefault="00D03328">
      <w:pPr>
        <w:pStyle w:val="FootnoteText"/>
      </w:pPr>
      <w:r>
        <w:rPr>
          <w:rStyle w:val="FootnoteReference"/>
        </w:rPr>
        <w:footnoteRef/>
      </w:r>
      <w:r>
        <w:t xml:space="preserve"> NYC 80x50 Roadmap.</w:t>
      </w:r>
    </w:p>
  </w:footnote>
  <w:footnote w:id="5">
    <w:p w14:paraId="0EAF67C4" w14:textId="77777777" w:rsidR="00D03328" w:rsidRPr="00A36E32" w:rsidRDefault="00D03328">
      <w:pPr>
        <w:pStyle w:val="FootnoteText"/>
      </w:pPr>
      <w:r>
        <w:rPr>
          <w:rStyle w:val="FootnoteReference"/>
        </w:rPr>
        <w:footnoteRef/>
      </w:r>
      <w:r>
        <w:t xml:space="preserve"> Find DNV GL Permit study: </w:t>
      </w:r>
      <w:hyperlink r:id="rId1" w:history="1">
        <w:r>
          <w:rPr>
            <w:rStyle w:val="Hyperlink"/>
            <w:rFonts w:eastAsia="Times New Roman"/>
          </w:rPr>
          <w:t>energydataweb.com/</w:t>
        </w:r>
        <w:proofErr w:type="spellStart"/>
        <w:r>
          <w:rPr>
            <w:rStyle w:val="Hyperlink"/>
            <w:rFonts w:eastAsia="Times New Roman"/>
          </w:rPr>
          <w:t>cpuc</w:t>
        </w:r>
        <w:proofErr w:type="spellEnd"/>
      </w:hyperlink>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ayout w:type="fixed"/>
      <w:tblCellMar>
        <w:left w:w="0" w:type="dxa"/>
        <w:right w:w="0" w:type="dxa"/>
      </w:tblCellMar>
      <w:tblLook w:val="0000" w:firstRow="0" w:lastRow="0" w:firstColumn="0" w:lastColumn="0" w:noHBand="0" w:noVBand="0"/>
    </w:tblPr>
    <w:tblGrid>
      <w:gridCol w:w="9582"/>
    </w:tblGrid>
    <w:tr w:rsidR="00D03328" w14:paraId="1555EEA0" w14:textId="77777777" w:rsidTr="008F159E">
      <w:trPr>
        <w:trHeight w:hRule="exact" w:val="737"/>
      </w:trPr>
      <w:tc>
        <w:tcPr>
          <w:tcW w:w="5000" w:type="pct"/>
          <w:noWrap/>
        </w:tcPr>
        <w:p w14:paraId="5D5EB516" w14:textId="77777777" w:rsidR="00D03328" w:rsidRPr="0026370C" w:rsidRDefault="00D03328" w:rsidP="008F159E">
          <w:pPr>
            <w:pStyle w:val="Header"/>
          </w:pPr>
          <w:r>
            <w:rPr>
              <w:lang w:eastAsia="en-US"/>
            </w:rPr>
            <w:drawing>
              <wp:inline distT="0" distB="0" distL="0" distR="0" wp14:anchorId="02AB8555" wp14:editId="0926C747">
                <wp:extent cx="14401800" cy="381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401800" cy="381000"/>
                        </a:xfrm>
                        <a:prstGeom prst="rect">
                          <a:avLst/>
                        </a:prstGeom>
                        <a:noFill/>
                        <a:ln>
                          <a:noFill/>
                        </a:ln>
                      </pic:spPr>
                    </pic:pic>
                  </a:graphicData>
                </a:graphic>
              </wp:inline>
            </w:drawing>
          </w:r>
        </w:p>
      </w:tc>
    </w:tr>
  </w:tbl>
  <w:p w14:paraId="1CB03D9A" w14:textId="77777777" w:rsidR="00D03328" w:rsidRPr="006738CA" w:rsidRDefault="00D03328" w:rsidP="008F159E">
    <w:pPr>
      <w:pStyle w:val="Header"/>
    </w:pPr>
  </w:p>
  <w:p w14:paraId="30380FBE" w14:textId="77777777" w:rsidR="00D03328" w:rsidRPr="00227A03" w:rsidRDefault="00D03328" w:rsidP="008F159E">
    <w:pPr>
      <w:jc w:val="right"/>
      <w:rPr>
        <w:b/>
        <w:bCs/>
      </w:rPr>
    </w:pPr>
    <w:r w:rsidRPr="00227A03">
      <w:rPr>
        <w:b/>
        <w:bCs/>
      </w:rPr>
      <w:t xml:space="preserve">Page </w:t>
    </w:r>
    <w:r w:rsidRPr="00BC6CB7">
      <w:rPr>
        <w:b/>
        <w:bCs/>
      </w:rPr>
      <w:fldChar w:fldCharType="begin"/>
    </w:r>
    <w:r w:rsidRPr="00BC6CB7">
      <w:rPr>
        <w:b/>
        <w:bCs/>
      </w:rPr>
      <w:instrText xml:space="preserve">PAGE </w:instrText>
    </w:r>
    <w:r w:rsidRPr="00BC6CB7">
      <w:rPr>
        <w:b/>
        <w:bCs/>
      </w:rPr>
      <w:fldChar w:fldCharType="separate"/>
    </w:r>
    <w:r>
      <w:rPr>
        <w:b/>
        <w:bCs/>
        <w:noProof/>
      </w:rPr>
      <w:t>15</w:t>
    </w:r>
    <w:r w:rsidRPr="00BC6CB7">
      <w:rPr>
        <w:b/>
        <w:bCs/>
      </w:rPr>
      <w:fldChar w:fldCharType="end"/>
    </w:r>
    <w:r w:rsidRPr="00227A03">
      <w:rPr>
        <w:b/>
        <w:bCs/>
      </w:rPr>
      <w:t xml:space="preserve"> of </w:t>
    </w:r>
    <w:r w:rsidRPr="00227A03">
      <w:rPr>
        <w:b/>
        <w:bCs/>
      </w:rPr>
      <w:fldChar w:fldCharType="begin"/>
    </w:r>
    <w:r w:rsidRPr="00227A03">
      <w:rPr>
        <w:b/>
        <w:bCs/>
      </w:rPr>
      <w:instrText xml:space="preserve"> NUMPAGES </w:instrText>
    </w:r>
    <w:r w:rsidRPr="00227A03">
      <w:rPr>
        <w:b/>
        <w:bCs/>
      </w:rPr>
      <w:fldChar w:fldCharType="separate"/>
    </w:r>
    <w:r>
      <w:rPr>
        <w:b/>
        <w:bCs/>
        <w:noProof/>
      </w:rPr>
      <w:t>2</w:t>
    </w:r>
    <w:r w:rsidRPr="00227A03">
      <w:rPr>
        <w:b/>
        <w:bCs/>
      </w:rPr>
      <w:fldChar w:fldCharType="end"/>
    </w:r>
  </w:p>
  <w:p w14:paraId="71C0BAD8" w14:textId="77777777" w:rsidR="00D03328" w:rsidRDefault="00D0332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8428B" w14:textId="77777777" w:rsidR="000B11E8" w:rsidRDefault="000B11E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ayout w:type="fixed"/>
      <w:tblCellMar>
        <w:left w:w="0" w:type="dxa"/>
        <w:right w:w="0" w:type="dxa"/>
      </w:tblCellMar>
      <w:tblLook w:val="0000" w:firstRow="0" w:lastRow="0" w:firstColumn="0" w:lastColumn="0" w:noHBand="0" w:noVBand="0"/>
    </w:tblPr>
    <w:tblGrid>
      <w:gridCol w:w="9582"/>
    </w:tblGrid>
    <w:tr w:rsidR="00D03328" w14:paraId="51EAB290" w14:textId="77777777" w:rsidTr="008F159E">
      <w:trPr>
        <w:trHeight w:hRule="exact" w:val="1021"/>
      </w:trPr>
      <w:tc>
        <w:tcPr>
          <w:tcW w:w="5000" w:type="pct"/>
          <w:noWrap/>
        </w:tcPr>
        <w:p w14:paraId="12834B41" w14:textId="77777777" w:rsidR="00D03328" w:rsidRPr="00F22465" w:rsidRDefault="00D03328" w:rsidP="008F159E">
          <w:r>
            <w:rPr>
              <w:noProof/>
              <w:lang w:eastAsia="en-US"/>
            </w:rPr>
            <w:drawing>
              <wp:anchor distT="0" distB="0" distL="114300" distR="114300" simplePos="0" relativeHeight="251656704" behindDoc="0" locked="0" layoutInCell="0" allowOverlap="1" wp14:anchorId="2FB7A784" wp14:editId="33A250AE">
                <wp:simplePos x="0" y="0"/>
                <wp:positionH relativeFrom="margin">
                  <wp:posOffset>4884420</wp:posOffset>
                </wp:positionH>
                <wp:positionV relativeFrom="page">
                  <wp:posOffset>450554</wp:posOffset>
                </wp:positionV>
                <wp:extent cx="1195070" cy="161925"/>
                <wp:effectExtent l="0" t="0" r="508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95070" cy="161925"/>
                        </a:xfrm>
                        <a:prstGeom prst="rect">
                          <a:avLst/>
                        </a:prstGeom>
                        <a:noFill/>
                      </pic:spPr>
                    </pic:pic>
                  </a:graphicData>
                </a:graphic>
              </wp:anchor>
            </w:drawing>
          </w:r>
          <w:r>
            <w:rPr>
              <w:noProof/>
              <w:lang w:eastAsia="en-US"/>
            </w:rPr>
            <mc:AlternateContent>
              <mc:Choice Requires="wps">
                <w:drawing>
                  <wp:anchor distT="0" distB="0" distL="114300" distR="114300" simplePos="0" relativeHeight="251657728" behindDoc="0" locked="0" layoutInCell="0" allowOverlap="1" wp14:anchorId="74FDF6B7" wp14:editId="4DEEC852">
                    <wp:simplePos x="0" y="0"/>
                    <wp:positionH relativeFrom="page">
                      <wp:posOffset>252095</wp:posOffset>
                    </wp:positionH>
                    <wp:positionV relativeFrom="page">
                      <wp:posOffset>3780790</wp:posOffset>
                    </wp:positionV>
                    <wp:extent cx="151130" cy="0"/>
                    <wp:effectExtent l="13970" t="8890" r="6350" b="1016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 cy="0"/>
                            </a:xfrm>
                            <a:prstGeom prst="line">
                              <a:avLst/>
                            </a:prstGeom>
                            <a:noFill/>
                            <a:ln w="3175">
                              <a:solidFill>
                                <a:srgbClr val="009FD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line w14:anchorId="2772FBFE" id="Straight Connector 5" o:spid="_x0000_s1026" style="position:absolute;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9.85pt,297.7pt" to="31.7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" o:allowincell="f" strokecolor="#009fda" strokeweight=".25pt">
                    <w10:wrap anchorx="page" anchory="page"/>
                  </v:line>
                </w:pict>
              </mc:Fallback>
            </mc:AlternateContent>
          </w:r>
          <w:r>
            <w:rPr>
              <w:noProof/>
              <w:lang w:eastAsia="en-US"/>
            </w:rPr>
            <w:drawing>
              <wp:inline distT="0" distB="0" distL="0" distR="0" wp14:anchorId="5C87E15B" wp14:editId="63DD4BA7">
                <wp:extent cx="14401800" cy="3810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4401800" cy="381000"/>
                        </a:xfrm>
                        <a:prstGeom prst="rect">
                          <a:avLst/>
                        </a:prstGeom>
                        <a:noFill/>
                        <a:ln>
                          <a:noFill/>
                        </a:ln>
                      </pic:spPr>
                    </pic:pic>
                  </a:graphicData>
                </a:graphic>
              </wp:inline>
            </w:drawing>
          </w:r>
        </w:p>
      </w:tc>
    </w:tr>
  </w:tbl>
  <w:p w14:paraId="33D10FC3" w14:textId="77777777" w:rsidR="00D03328" w:rsidRPr="006738CA" w:rsidRDefault="00D03328" w:rsidP="008F159E">
    <w:pPr>
      <w:pStyle w:val="Header"/>
    </w:pPr>
  </w:p>
  <w:p w14:paraId="76567052" w14:textId="77777777" w:rsidR="00D03328" w:rsidRPr="00866BDC" w:rsidRDefault="00D03328">
    <w:pPr>
      <w:pStyle w:val="Header"/>
      <w:rPr>
        <w:sz w:val="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nsid w:val="FFFFFF89"/>
    <w:multiLevelType w:val="singleLevel"/>
    <w:tmpl w:val="CE08A39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4340ED"/>
    <w:multiLevelType w:val="hybridMultilevel"/>
    <w:tmpl w:val="47061E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1361F0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02BF1B41"/>
    <w:multiLevelType w:val="hybridMultilevel"/>
    <w:tmpl w:val="8932A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nsid w:val="04671ED5"/>
    <w:multiLevelType w:val="hybridMultilevel"/>
    <w:tmpl w:val="2512787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5">
    <w:nsid w:val="087A52D2"/>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0ABD1B4D"/>
    <w:multiLevelType w:val="hybridMultilevel"/>
    <w:tmpl w:val="0D0CE1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CAD503D"/>
    <w:multiLevelType w:val="hybridMultilevel"/>
    <w:tmpl w:val="0E3693D2"/>
    <w:lvl w:ilvl="0" w:tplc="412C9E74">
      <w:start w:val="1"/>
      <w:numFmt w:val="bullet"/>
      <w:pStyle w:val="DNVGL-Bullet1"/>
      <w:lvlText w:val=""/>
      <w:lvlJc w:val="left"/>
      <w:pPr>
        <w:ind w:left="720" w:hanging="360"/>
      </w:pPr>
      <w:rPr>
        <w:rFonts w:ascii="Wingdings" w:hAnsi="Wingdings" w:hint="default"/>
        <w:color w:val="8064A2"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CB03FA4"/>
    <w:multiLevelType w:val="hybridMultilevel"/>
    <w:tmpl w:val="F758986C"/>
    <w:lvl w:ilvl="0" w:tplc="D5EA208C">
      <w:start w:val="1"/>
      <w:numFmt w:val="decimal"/>
      <w:lvlText w:val="%1."/>
      <w:lvlJc w:val="left"/>
      <w:pPr>
        <w:ind w:left="720" w:hanging="360"/>
      </w:pPr>
      <w:rPr>
        <w:rFonts w:ascii="Verdana" w:hAnsi="Verdana" w:cs="Verdana" w:hint="default"/>
        <w:color w:val="009FDA"/>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DA32F6F"/>
    <w:multiLevelType w:val="hybridMultilevel"/>
    <w:tmpl w:val="768086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DD82737"/>
    <w:multiLevelType w:val="hybridMultilevel"/>
    <w:tmpl w:val="2BE4438A"/>
    <w:lvl w:ilvl="0" w:tplc="2D56C3B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49B1463"/>
    <w:multiLevelType w:val="hybridMultilevel"/>
    <w:tmpl w:val="97507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847454"/>
    <w:multiLevelType w:val="hybridMultilevel"/>
    <w:tmpl w:val="37B46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2B8E14CD"/>
    <w:multiLevelType w:val="hybridMultilevel"/>
    <w:tmpl w:val="561A9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E791222"/>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6">
    <w:nsid w:val="30A30E21"/>
    <w:multiLevelType w:val="hybridMultilevel"/>
    <w:tmpl w:val="74648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1BA7AB1"/>
    <w:multiLevelType w:val="hybridMultilevel"/>
    <w:tmpl w:val="91E0CD98"/>
    <w:lvl w:ilvl="0" w:tplc="465CB544">
      <w:start w:val="1"/>
      <w:numFmt w:val="upperLetter"/>
      <w:lvlText w:val="%1."/>
      <w:lvlJc w:val="left"/>
      <w:pPr>
        <w:ind w:left="720" w:hanging="360"/>
      </w:pPr>
      <w:rPr>
        <w:rFonts w:ascii="Verdana" w:hAnsi="Verdana" w:cs="Verdana" w:hint="default"/>
        <w:color w:val="009FDA"/>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4CF3208"/>
    <w:multiLevelType w:val="hybridMultilevel"/>
    <w:tmpl w:val="52FACA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A366E82"/>
    <w:multiLevelType w:val="hybridMultilevel"/>
    <w:tmpl w:val="F912D244"/>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3B125049"/>
    <w:multiLevelType w:val="hybridMultilevel"/>
    <w:tmpl w:val="7C22B80E"/>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B6364DB"/>
    <w:multiLevelType w:val="hybridMultilevel"/>
    <w:tmpl w:val="BE322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6F6C52"/>
    <w:multiLevelType w:val="hybridMultilevel"/>
    <w:tmpl w:val="B82E35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EE44388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3F65302"/>
    <w:multiLevelType w:val="hybridMultilevel"/>
    <w:tmpl w:val="88B04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8090C36"/>
    <w:multiLevelType w:val="hybridMultilevel"/>
    <w:tmpl w:val="62364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8BF5C71"/>
    <w:multiLevelType w:val="hybridMultilevel"/>
    <w:tmpl w:val="3BC43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B03504C"/>
    <w:multiLevelType w:val="hybridMultilevel"/>
    <w:tmpl w:val="8E8CF4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F4B15F6"/>
    <w:multiLevelType w:val="hybridMultilevel"/>
    <w:tmpl w:val="4EAC6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07E6F06"/>
    <w:multiLevelType w:val="hybridMultilevel"/>
    <w:tmpl w:val="28606CA6"/>
    <w:lvl w:ilvl="0" w:tplc="F258C8F6">
      <w:start w:val="2"/>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39">
    <w:nsid w:val="755348CC"/>
    <w:multiLevelType w:val="hybridMultilevel"/>
    <w:tmpl w:val="5030D6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78AC26CE"/>
    <w:multiLevelType w:val="hybridMultilevel"/>
    <w:tmpl w:val="DFCC1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8"/>
  </w:num>
  <w:num w:numId="4">
    <w:abstractNumId w:val="23"/>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5"/>
  </w:num>
  <w:num w:numId="14">
    <w:abstractNumId w:val="11"/>
  </w:num>
  <w:num w:numId="15">
    <w:abstractNumId w:val="25"/>
  </w:num>
  <w:num w:numId="16">
    <w:abstractNumId w:val="30"/>
  </w:num>
  <w:num w:numId="17">
    <w:abstractNumId w:val="40"/>
  </w:num>
  <w:num w:numId="18">
    <w:abstractNumId w:val="17"/>
  </w:num>
  <w:num w:numId="19">
    <w:abstractNumId w:val="10"/>
  </w:num>
  <w:num w:numId="20">
    <w:abstractNumId w:val="36"/>
  </w:num>
  <w:num w:numId="21">
    <w:abstractNumId w:val="32"/>
  </w:num>
  <w:num w:numId="22">
    <w:abstractNumId w:val="29"/>
  </w:num>
  <w:num w:numId="23">
    <w:abstractNumId w:val="18"/>
  </w:num>
  <w:num w:numId="24">
    <w:abstractNumId w:val="14"/>
  </w:num>
  <w:num w:numId="25">
    <w:abstractNumId w:val="39"/>
  </w:num>
  <w:num w:numId="26">
    <w:abstractNumId w:val="37"/>
  </w:num>
  <w:num w:numId="27">
    <w:abstractNumId w:val="38"/>
  </w:num>
  <w:num w:numId="28">
    <w:abstractNumId w:val="27"/>
  </w:num>
  <w:num w:numId="29">
    <w:abstractNumId w:val="20"/>
  </w:num>
  <w:num w:numId="30">
    <w:abstractNumId w:val="16"/>
  </w:num>
  <w:num w:numId="31">
    <w:abstractNumId w:val="19"/>
  </w:num>
  <w:num w:numId="32">
    <w:abstractNumId w:val="21"/>
  </w:num>
  <w:num w:numId="33">
    <w:abstractNumId w:val="31"/>
  </w:num>
  <w:num w:numId="34">
    <w:abstractNumId w:val="34"/>
  </w:num>
  <w:num w:numId="35">
    <w:abstractNumId w:val="22"/>
  </w:num>
  <w:num w:numId="36">
    <w:abstractNumId w:val="26"/>
  </w:num>
  <w:num w:numId="37">
    <w:abstractNumId w:val="12"/>
  </w:num>
  <w:num w:numId="38">
    <w:abstractNumId w:val="28"/>
  </w:num>
  <w:num w:numId="39">
    <w:abstractNumId w:val="24"/>
  </w:num>
  <w:num w:numId="40">
    <w:abstractNumId w:val="33"/>
  </w:num>
  <w:num w:numId="41">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4"/>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TI0MDO0NDQxNjMyNzNQ0lEKTi0uzszPAykwrgUAe9KgDCwAAAA="/>
    <w:docVar w:name="DFS_FileId" w:val="COR009.dotx"/>
    <w:docVar w:name="DFS_FormId" w:val="1943"/>
    <w:docVar w:name="DFS_FormNo" w:val="COR 009"/>
    <w:docVar w:name="DFS_FormversionNo" w:val="8"/>
    <w:docVar w:name="DFS_Issue" w:val="2017-10"/>
    <w:docVar w:name="DNVeFormDoc_guid" w:val="5b4a4527e636497a9ec402cecc8e73c1"/>
    <w:docVar w:name="eForms_xdoc_doc_config" w:val="&lt;?xml version=&quot;1.0&quot; encoding=&quot;UTF-8&quot;?&gt;&lt;DNVeFormsCore version=&quot;1.0&quot;&gt;&lt;doc_config client_app=&quot;&quot;&gt;&lt;setting name=&quot;form_config&quot;&gt;&lt;form form_id=&quot;1943&quot; formversion_no=&quot;8&quot; code=&quot;COR 009&quot; name=&quot;Blank Document with logo and DNV GL footer&quot; issue=&quot;2017-10&quot; formgroup_id=&quot;0&quot; distribution_bits=&quot;15&quot; FU=&quot;1&quot; SS=&quot;1&quot; SL=&quot;1&quot; ST=&quot;1&quot; filename=&quot;COR009.dotx&quot; type=&quot;Word&quot; datafolder=&quot;COR 009&quot; form_id_field=&quot;&quot; formflow_filename=&quot;&quot; standalone=&quot;n&quot;&gt;_x000d__x000a_  &lt;templates&gt;_x000d__x000a_    &lt;template name=&quot;&quot; filename=&quot;COR009.dotx&quot; /&gt;_x000d__x000a_  &lt;/templates&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 caption=&quot;Copy data from an existing certificate&quot;&gt;_x000d__x000a_      &lt;click method=&quot;TmcCopyDataFromExistingDocument&quot; /&gt;_x000d__x000a_    &lt;/menuitem&gt;_x000d__x000a_  &lt;/menuitems&gt;_x000d__x000a_&lt;/form&gt;&lt;/setting&gt;&lt;/doc_config&gt;&lt;/DNVeFormsCore&gt;"/>
    <w:docVar w:name="eFormsDataStoreItemId" w:val="d880929caf084fcdb1167cd3283714dc"/>
    <w:docVar w:name="eFormsFormConfig" w:val="&lt;form form_id=&quot;1943&quot; formversion_no=&quot;8&quot; code=&quot;COR 009&quot; name=&quot;Blank Document with logo and DNV GL footer&quot; issue=&quot;2017-10&quot; formgroup_id=&quot;0&quot; distribution_bits=&quot;15&quot; FU=&quot;1&quot; SS=&quot;1&quot; SL=&quot;1&quot; ST=&quot;1&quot; filename=&quot;COR009.dotx&quot; type=&quot;Word&quot; datafolder=&quot;COR 009&quot; form_id_field=&quot;&quot; formflow_filename=&quot;&quot; standalone=&quot;n&quot;&gt;_x000d__x000a_  &lt;templates&gt;_x000d__x000a_    &lt;template name=&quot;&quot; filename=&quot;COR009.dotx&quot; /&gt;_x000d__x000a_  &lt;/templates&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 caption=&quot;Copy data from an existing certificate&quot;&gt;_x000d__x000a_      &lt;click method=&quot;TmcCopyDataFromExistingDocument&quot; /&gt;_x000d__x000a_    &lt;/menuitem&gt;_x000d__x000a_  &lt;/menuitems&gt;_x000d__x000a_&lt;/form&gt;"/>
    <w:docVar w:name="TB build" w:val="20171019 143932"/>
    <w:docVar w:name="TB build utc" w:val="2017-10-19T12:39:40"/>
    <w:docVar w:name="TB filename" w:val="COR009.dotx"/>
    <w:docVar w:name="TB id" w:val="7240"/>
    <w:docVar w:name="TB name" w:val="DNV GL - COR 009"/>
    <w:docVar w:name="TMPeF_datafolder" w:val="COR 009"/>
    <w:docVar w:name="XCD450QKD" w:val="499e61625a68442799913ea180ff14bf"/>
  </w:docVars>
  <w:rsids>
    <w:rsidRoot w:val="00CB13C0"/>
    <w:rsid w:val="00002492"/>
    <w:rsid w:val="000120C7"/>
    <w:rsid w:val="000120F4"/>
    <w:rsid w:val="0001596E"/>
    <w:rsid w:val="0001711B"/>
    <w:rsid w:val="00027649"/>
    <w:rsid w:val="00027E33"/>
    <w:rsid w:val="0003078A"/>
    <w:rsid w:val="00036EB8"/>
    <w:rsid w:val="00076C56"/>
    <w:rsid w:val="00076E44"/>
    <w:rsid w:val="00082952"/>
    <w:rsid w:val="000857B8"/>
    <w:rsid w:val="00085A73"/>
    <w:rsid w:val="00097179"/>
    <w:rsid w:val="000B11E8"/>
    <w:rsid w:val="000B5990"/>
    <w:rsid w:val="000C05BE"/>
    <w:rsid w:val="000D6C69"/>
    <w:rsid w:val="000E4213"/>
    <w:rsid w:val="000E4A39"/>
    <w:rsid w:val="000F1189"/>
    <w:rsid w:val="0011467B"/>
    <w:rsid w:val="001147AE"/>
    <w:rsid w:val="00121D11"/>
    <w:rsid w:val="0013102A"/>
    <w:rsid w:val="00134149"/>
    <w:rsid w:val="00167EE7"/>
    <w:rsid w:val="00190CF4"/>
    <w:rsid w:val="001A74B4"/>
    <w:rsid w:val="001E3D7D"/>
    <w:rsid w:val="001E7732"/>
    <w:rsid w:val="001F40EB"/>
    <w:rsid w:val="00207A03"/>
    <w:rsid w:val="00207D5C"/>
    <w:rsid w:val="0021346B"/>
    <w:rsid w:val="00256E0E"/>
    <w:rsid w:val="00257744"/>
    <w:rsid w:val="002A2F0B"/>
    <w:rsid w:val="002B0B80"/>
    <w:rsid w:val="002B4C78"/>
    <w:rsid w:val="002C234E"/>
    <w:rsid w:val="002C72C1"/>
    <w:rsid w:val="002D331A"/>
    <w:rsid w:val="002E02C8"/>
    <w:rsid w:val="002E260E"/>
    <w:rsid w:val="002F3C61"/>
    <w:rsid w:val="002F7581"/>
    <w:rsid w:val="00312DEF"/>
    <w:rsid w:val="00316294"/>
    <w:rsid w:val="0032599D"/>
    <w:rsid w:val="00352783"/>
    <w:rsid w:val="00355A34"/>
    <w:rsid w:val="0036278A"/>
    <w:rsid w:val="00376184"/>
    <w:rsid w:val="00386988"/>
    <w:rsid w:val="00391DA6"/>
    <w:rsid w:val="003A21B4"/>
    <w:rsid w:val="003B5620"/>
    <w:rsid w:val="003C29F3"/>
    <w:rsid w:val="003E0AD4"/>
    <w:rsid w:val="00400C50"/>
    <w:rsid w:val="00407C9C"/>
    <w:rsid w:val="00416764"/>
    <w:rsid w:val="00417142"/>
    <w:rsid w:val="004363E8"/>
    <w:rsid w:val="00457475"/>
    <w:rsid w:val="00491194"/>
    <w:rsid w:val="004C712F"/>
    <w:rsid w:val="004D226B"/>
    <w:rsid w:val="004D67B6"/>
    <w:rsid w:val="004E7309"/>
    <w:rsid w:val="004F1826"/>
    <w:rsid w:val="004F44A0"/>
    <w:rsid w:val="004F4821"/>
    <w:rsid w:val="00522B20"/>
    <w:rsid w:val="005377BD"/>
    <w:rsid w:val="005550D6"/>
    <w:rsid w:val="00565E8B"/>
    <w:rsid w:val="00567236"/>
    <w:rsid w:val="00582FB1"/>
    <w:rsid w:val="005870CE"/>
    <w:rsid w:val="005A0298"/>
    <w:rsid w:val="005A3151"/>
    <w:rsid w:val="005A74CB"/>
    <w:rsid w:val="005A7777"/>
    <w:rsid w:val="005B5779"/>
    <w:rsid w:val="005B589F"/>
    <w:rsid w:val="005D0D33"/>
    <w:rsid w:val="005D53D1"/>
    <w:rsid w:val="005D7E17"/>
    <w:rsid w:val="005E56DE"/>
    <w:rsid w:val="00603DAD"/>
    <w:rsid w:val="006065B5"/>
    <w:rsid w:val="006217F9"/>
    <w:rsid w:val="00623045"/>
    <w:rsid w:val="00624C14"/>
    <w:rsid w:val="0063475D"/>
    <w:rsid w:val="006578E3"/>
    <w:rsid w:val="00660CD6"/>
    <w:rsid w:val="00664977"/>
    <w:rsid w:val="00692691"/>
    <w:rsid w:val="006A2805"/>
    <w:rsid w:val="006B00E6"/>
    <w:rsid w:val="006C3932"/>
    <w:rsid w:val="006C4B9C"/>
    <w:rsid w:val="006D2403"/>
    <w:rsid w:val="006D4143"/>
    <w:rsid w:val="006F14BB"/>
    <w:rsid w:val="006F52B3"/>
    <w:rsid w:val="006F57E7"/>
    <w:rsid w:val="00712D8D"/>
    <w:rsid w:val="00720624"/>
    <w:rsid w:val="00721536"/>
    <w:rsid w:val="00725531"/>
    <w:rsid w:val="00756FE5"/>
    <w:rsid w:val="00763503"/>
    <w:rsid w:val="0077589C"/>
    <w:rsid w:val="00776C80"/>
    <w:rsid w:val="00797C9F"/>
    <w:rsid w:val="007A16BE"/>
    <w:rsid w:val="007B0332"/>
    <w:rsid w:val="007B54B6"/>
    <w:rsid w:val="007C289C"/>
    <w:rsid w:val="007C6155"/>
    <w:rsid w:val="007D2200"/>
    <w:rsid w:val="007D38F8"/>
    <w:rsid w:val="007D4291"/>
    <w:rsid w:val="007D7E23"/>
    <w:rsid w:val="007F7A85"/>
    <w:rsid w:val="00807B9B"/>
    <w:rsid w:val="00814EE3"/>
    <w:rsid w:val="00816369"/>
    <w:rsid w:val="00824AF6"/>
    <w:rsid w:val="00841DFE"/>
    <w:rsid w:val="00865CBC"/>
    <w:rsid w:val="008737C2"/>
    <w:rsid w:val="0088438B"/>
    <w:rsid w:val="008D0A55"/>
    <w:rsid w:val="008D728F"/>
    <w:rsid w:val="008F159E"/>
    <w:rsid w:val="00904AFB"/>
    <w:rsid w:val="00904E58"/>
    <w:rsid w:val="00913DA1"/>
    <w:rsid w:val="00931F82"/>
    <w:rsid w:val="00956196"/>
    <w:rsid w:val="0095760B"/>
    <w:rsid w:val="009655E4"/>
    <w:rsid w:val="00984FC7"/>
    <w:rsid w:val="00991E09"/>
    <w:rsid w:val="009A3CCD"/>
    <w:rsid w:val="009A4DEA"/>
    <w:rsid w:val="009E1A2E"/>
    <w:rsid w:val="009E7E3F"/>
    <w:rsid w:val="009F606A"/>
    <w:rsid w:val="00A111CA"/>
    <w:rsid w:val="00A328AE"/>
    <w:rsid w:val="00A34550"/>
    <w:rsid w:val="00A364D2"/>
    <w:rsid w:val="00A36E32"/>
    <w:rsid w:val="00A40454"/>
    <w:rsid w:val="00A90726"/>
    <w:rsid w:val="00AA670D"/>
    <w:rsid w:val="00AB2E3A"/>
    <w:rsid w:val="00B002CB"/>
    <w:rsid w:val="00B061AB"/>
    <w:rsid w:val="00B31E89"/>
    <w:rsid w:val="00B4606C"/>
    <w:rsid w:val="00B631B8"/>
    <w:rsid w:val="00B74C19"/>
    <w:rsid w:val="00B83DDC"/>
    <w:rsid w:val="00B87AB3"/>
    <w:rsid w:val="00B95508"/>
    <w:rsid w:val="00BA0FD2"/>
    <w:rsid w:val="00BB047A"/>
    <w:rsid w:val="00BB0938"/>
    <w:rsid w:val="00BC6B16"/>
    <w:rsid w:val="00BD3588"/>
    <w:rsid w:val="00BF3A09"/>
    <w:rsid w:val="00C00C0C"/>
    <w:rsid w:val="00C02C4E"/>
    <w:rsid w:val="00C51D3D"/>
    <w:rsid w:val="00C5255A"/>
    <w:rsid w:val="00C64F82"/>
    <w:rsid w:val="00C71309"/>
    <w:rsid w:val="00C84476"/>
    <w:rsid w:val="00C91B93"/>
    <w:rsid w:val="00C9231B"/>
    <w:rsid w:val="00C96A07"/>
    <w:rsid w:val="00CA60BA"/>
    <w:rsid w:val="00CA6FD9"/>
    <w:rsid w:val="00CB13C0"/>
    <w:rsid w:val="00CC2664"/>
    <w:rsid w:val="00CE1D14"/>
    <w:rsid w:val="00CF79AF"/>
    <w:rsid w:val="00D03328"/>
    <w:rsid w:val="00D2439C"/>
    <w:rsid w:val="00D263F8"/>
    <w:rsid w:val="00D362EF"/>
    <w:rsid w:val="00D551B4"/>
    <w:rsid w:val="00D61633"/>
    <w:rsid w:val="00D647DA"/>
    <w:rsid w:val="00D711CD"/>
    <w:rsid w:val="00D734DD"/>
    <w:rsid w:val="00DA0D75"/>
    <w:rsid w:val="00DA5B51"/>
    <w:rsid w:val="00DD76D6"/>
    <w:rsid w:val="00DE58DD"/>
    <w:rsid w:val="00DE61B2"/>
    <w:rsid w:val="00DF5CD4"/>
    <w:rsid w:val="00E06E5F"/>
    <w:rsid w:val="00E45C41"/>
    <w:rsid w:val="00E54321"/>
    <w:rsid w:val="00E56F63"/>
    <w:rsid w:val="00E66F2F"/>
    <w:rsid w:val="00E84540"/>
    <w:rsid w:val="00E85C11"/>
    <w:rsid w:val="00E93514"/>
    <w:rsid w:val="00EA597A"/>
    <w:rsid w:val="00EB1F34"/>
    <w:rsid w:val="00EB6666"/>
    <w:rsid w:val="00EC1D76"/>
    <w:rsid w:val="00ED79C4"/>
    <w:rsid w:val="00EE47FA"/>
    <w:rsid w:val="00EE721D"/>
    <w:rsid w:val="00EF5102"/>
    <w:rsid w:val="00EF79A1"/>
    <w:rsid w:val="00F07240"/>
    <w:rsid w:val="00F1641C"/>
    <w:rsid w:val="00F20EDA"/>
    <w:rsid w:val="00F32756"/>
    <w:rsid w:val="00F36AC5"/>
    <w:rsid w:val="00F42FC7"/>
    <w:rsid w:val="00F43C6A"/>
    <w:rsid w:val="00F4538E"/>
    <w:rsid w:val="00F554C2"/>
    <w:rsid w:val="00F74E06"/>
    <w:rsid w:val="00F77F60"/>
    <w:rsid w:val="00F8008F"/>
    <w:rsid w:val="00F87B11"/>
    <w:rsid w:val="00F959A9"/>
    <w:rsid w:val="00FC1BBB"/>
    <w:rsid w:val="00FC3017"/>
    <w:rsid w:val="00FF0DAE"/>
    <w:rsid w:val="00FF2DED"/>
    <w:rsid w:val="00FF5E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7E3A5"/>
  <w15:docId w15:val="{0AEE5A8D-3C15-42F9-A077-8B03510AC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82">
    <w:lsdException w:name="Normal" w:uiPriority="1" w:qFormat="1"/>
    <w:lsdException w:name="heading 1" w:qFormat="1"/>
    <w:lsdException w:name="heading 2" w:semiHidden="1" w:qFormat="1"/>
    <w:lsdException w:name="heading 3" w:semiHidden="1" w:qFormat="1"/>
    <w:lsdException w:name="heading 4" w:semiHidden="1" w:qFormat="1"/>
    <w:lsdException w:name="heading 5" w:semiHidden="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semiHidden="1" w:unhideWhenUsed="1"/>
    <w:lsdException w:name="header" w:semiHidden="1"/>
    <w:lsdException w:name="footer" w:semiHidden="1"/>
    <w:lsdException w:name="index heading" w:semiHidden="1" w:unhideWhenUsed="1"/>
    <w:lsdException w:name="caption" w:semiHidden="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atentStyles>
  <w:style w:type="paragraph" w:default="1" w:styleId="Normal">
    <w:name w:val="Normal"/>
    <w:uiPriority w:val="1"/>
    <w:qFormat/>
    <w:rsid w:val="00AC18CE"/>
    <w:pPr>
      <w:spacing w:after="0" w:line="240" w:lineRule="auto"/>
    </w:pPr>
    <w:rPr>
      <w:rFonts w:ascii="Verdana" w:hAnsi="Verdana" w:cs="Verdana"/>
      <w:sz w:val="18"/>
      <w:szCs w:val="18"/>
    </w:rPr>
  </w:style>
  <w:style w:type="paragraph" w:styleId="Heading1">
    <w:name w:val="heading 1"/>
    <w:aliases w:val="GH - Heading 1"/>
    <w:basedOn w:val="Normal"/>
    <w:next w:val="BodyText"/>
    <w:link w:val="Heading1Char"/>
    <w:uiPriority w:val="99"/>
    <w:qFormat/>
    <w:rsid w:val="00866BDC"/>
    <w:pPr>
      <w:keepNext/>
      <w:numPr>
        <w:numId w:val="1"/>
      </w:numPr>
      <w:outlineLvl w:val="0"/>
    </w:pPr>
    <w:rPr>
      <w:b/>
      <w:caps/>
      <w:color w:val="009FDA"/>
      <w:sz w:val="26"/>
    </w:rPr>
  </w:style>
  <w:style w:type="paragraph" w:styleId="Heading2">
    <w:name w:val="heading 2"/>
    <w:aliases w:val="GH - Heading 2"/>
    <w:basedOn w:val="Normal"/>
    <w:next w:val="BodyText"/>
    <w:link w:val="Heading2Char"/>
    <w:uiPriority w:val="99"/>
    <w:qFormat/>
    <w:rsid w:val="00866BDC"/>
    <w:pPr>
      <w:keepNext/>
      <w:numPr>
        <w:ilvl w:val="1"/>
        <w:numId w:val="1"/>
      </w:numPr>
      <w:spacing w:before="280"/>
      <w:outlineLvl w:val="1"/>
    </w:pPr>
    <w:rPr>
      <w:b/>
      <w:color w:val="009FDA"/>
      <w:sz w:val="26"/>
    </w:rPr>
  </w:style>
  <w:style w:type="paragraph" w:styleId="Heading3">
    <w:name w:val="heading 3"/>
    <w:aliases w:val="GH - Heading 3"/>
    <w:basedOn w:val="Normal"/>
    <w:next w:val="BodyText"/>
    <w:link w:val="Heading3Char"/>
    <w:uiPriority w:val="99"/>
    <w:qFormat/>
    <w:rsid w:val="00866BDC"/>
    <w:pPr>
      <w:keepNext/>
      <w:numPr>
        <w:ilvl w:val="2"/>
        <w:numId w:val="1"/>
      </w:numPr>
      <w:spacing w:before="120"/>
      <w:outlineLvl w:val="2"/>
    </w:pPr>
    <w:rPr>
      <w:color w:val="009FDA"/>
      <w:sz w:val="26"/>
    </w:rPr>
  </w:style>
  <w:style w:type="paragraph" w:styleId="Heading4">
    <w:name w:val="heading 4"/>
    <w:basedOn w:val="Normal"/>
    <w:next w:val="BodyText"/>
    <w:link w:val="Heading4Char"/>
    <w:uiPriority w:val="99"/>
    <w:qFormat/>
    <w:rsid w:val="00866BDC"/>
    <w:pPr>
      <w:keepNext/>
      <w:numPr>
        <w:ilvl w:val="3"/>
        <w:numId w:val="1"/>
      </w:numPr>
      <w:spacing w:before="120"/>
      <w:outlineLvl w:val="3"/>
    </w:pPr>
    <w:rPr>
      <w:b/>
      <w:color w:val="009FDA"/>
      <w:sz w:val="22"/>
    </w:rPr>
  </w:style>
  <w:style w:type="paragraph" w:styleId="Heading5">
    <w:name w:val="heading 5"/>
    <w:basedOn w:val="Normal"/>
    <w:next w:val="BodyText"/>
    <w:link w:val="Heading5Char"/>
    <w:uiPriority w:val="99"/>
    <w:rsid w:val="00866BDC"/>
    <w:pPr>
      <w:numPr>
        <w:ilvl w:val="4"/>
        <w:numId w:val="1"/>
      </w:numPr>
      <w:spacing w:before="60" w:after="60"/>
      <w:outlineLvl w:val="4"/>
    </w:pPr>
    <w:rPr>
      <w:sz w:val="22"/>
    </w:rPr>
  </w:style>
  <w:style w:type="paragraph" w:styleId="Heading6">
    <w:name w:val="heading 6"/>
    <w:basedOn w:val="Heading1"/>
    <w:next w:val="BodyText"/>
    <w:link w:val="Heading6Char"/>
    <w:uiPriority w:val="99"/>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GH - Heading 1 Char"/>
    <w:basedOn w:val="DefaultParagraphFont"/>
    <w:link w:val="Heading1"/>
    <w:uiPriority w:val="99"/>
    <w:rsid w:val="00866BDC"/>
    <w:rPr>
      <w:rFonts w:ascii="Verdana" w:hAnsi="Verdana" w:cs="Verdana"/>
      <w:b/>
      <w:caps/>
      <w:color w:val="009FDA"/>
      <w:sz w:val="26"/>
      <w:szCs w:val="18"/>
      <w:lang w:val="en-GB"/>
    </w:rPr>
  </w:style>
  <w:style w:type="character" w:customStyle="1" w:styleId="Heading2Char">
    <w:name w:val="Heading 2 Char"/>
    <w:aliases w:val="GH - Heading 2 Char"/>
    <w:basedOn w:val="DefaultParagraphFont"/>
    <w:link w:val="Heading2"/>
    <w:uiPriority w:val="99"/>
    <w:rsid w:val="00866BDC"/>
    <w:rPr>
      <w:rFonts w:ascii="Verdana" w:hAnsi="Verdana" w:cs="Verdana"/>
      <w:b/>
      <w:color w:val="009FDA"/>
      <w:sz w:val="26"/>
      <w:szCs w:val="18"/>
      <w:lang w:val="en-GB"/>
    </w:rPr>
  </w:style>
  <w:style w:type="character" w:customStyle="1" w:styleId="Heading3Char">
    <w:name w:val="Heading 3 Char"/>
    <w:aliases w:val="GH - Heading 3 Char"/>
    <w:basedOn w:val="DefaultParagraphFont"/>
    <w:link w:val="Heading3"/>
    <w:uiPriority w:val="99"/>
    <w:rsid w:val="00866BDC"/>
    <w:rPr>
      <w:rFonts w:ascii="Verdana" w:hAnsi="Verdana" w:cs="Verdana"/>
      <w:color w:val="009FDA"/>
      <w:sz w:val="26"/>
      <w:szCs w:val="18"/>
      <w:lang w:val="en-GB"/>
    </w:rPr>
  </w:style>
  <w:style w:type="character" w:customStyle="1" w:styleId="Heading4Char">
    <w:name w:val="Heading 4 Char"/>
    <w:basedOn w:val="DefaultParagraphFont"/>
    <w:link w:val="Heading4"/>
    <w:uiPriority w:val="99"/>
    <w:rsid w:val="00866BDC"/>
    <w:rPr>
      <w:rFonts w:ascii="Verdana" w:hAnsi="Verdana" w:cs="Verdana"/>
      <w:b/>
      <w:color w:val="009FDA"/>
      <w:szCs w:val="18"/>
      <w:lang w:val="en-GB"/>
    </w:rPr>
  </w:style>
  <w:style w:type="paragraph" w:styleId="BodyText">
    <w:name w:val="Body Text"/>
    <w:basedOn w:val="Normal"/>
    <w:link w:val="BodyTextChar"/>
    <w:uiPriority w:val="99"/>
    <w:qFormat/>
    <w:rsid w:val="00866BDC"/>
    <w:pPr>
      <w:spacing w:before="40" w:after="140" w:line="280" w:lineRule="atLeast"/>
    </w:pPr>
  </w:style>
  <w:style w:type="character" w:customStyle="1" w:styleId="BodyTextChar">
    <w:name w:val="Body Text Char"/>
    <w:basedOn w:val="DefaultParagraphFont"/>
    <w:link w:val="BodyText"/>
    <w:uiPriority w:val="99"/>
    <w:rsid w:val="00866BDC"/>
    <w:rPr>
      <w:rFonts w:ascii="Verdana" w:hAnsi="Verdana" w:cs="Verdana"/>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basedOn w:val="DefaultParagraphFont"/>
    <w:link w:val="Heading5"/>
    <w:uiPriority w:val="99"/>
    <w:rsid w:val="00866BDC"/>
    <w:rPr>
      <w:rFonts w:ascii="Verdana" w:hAnsi="Verdana" w:cs="Verdana"/>
      <w:szCs w:val="18"/>
      <w:lang w:val="en-GB"/>
    </w:rPr>
  </w:style>
  <w:style w:type="character" w:customStyle="1" w:styleId="Heading6Char">
    <w:name w:val="Heading 6 Char"/>
    <w:basedOn w:val="DefaultParagraphFont"/>
    <w:link w:val="Heading6"/>
    <w:uiPriority w:val="99"/>
    <w:rsid w:val="00866BDC"/>
    <w:rPr>
      <w:rFonts w:ascii="Verdana" w:hAnsi="Verdana" w:cs="Verdana"/>
      <w:b/>
      <w:caps/>
      <w:color w:val="009FDA"/>
      <w:sz w:val="26"/>
      <w:szCs w:val="18"/>
      <w:lang w:val="en-GB"/>
    </w:rPr>
  </w:style>
  <w:style w:type="character" w:customStyle="1" w:styleId="Heading7Char">
    <w:name w:val="Heading 7 Char"/>
    <w:basedOn w:val="DefaultParagraphFont"/>
    <w:link w:val="Heading7"/>
    <w:uiPriority w:val="99"/>
    <w:rsid w:val="00866BDC"/>
    <w:rPr>
      <w:rFonts w:ascii="Verdana" w:hAnsi="Verdana" w:cs="Verdana"/>
      <w:b/>
      <w:color w:val="009FDA"/>
      <w:sz w:val="26"/>
      <w:szCs w:val="18"/>
      <w:lang w:val="en-GB"/>
    </w:rPr>
  </w:style>
  <w:style w:type="character" w:customStyle="1" w:styleId="Heading8Char">
    <w:name w:val="Heading 8 Char"/>
    <w:basedOn w:val="DefaultParagraphFont"/>
    <w:link w:val="Heading8"/>
    <w:uiPriority w:val="99"/>
    <w:rsid w:val="00866BDC"/>
    <w:rPr>
      <w:rFonts w:ascii="Verdana" w:hAnsi="Verdana" w:cs="Verdana"/>
      <w:color w:val="009FDA"/>
      <w:sz w:val="26"/>
      <w:szCs w:val="18"/>
      <w:lang w:val="en-GB"/>
    </w:rPr>
  </w:style>
  <w:style w:type="character" w:customStyle="1" w:styleId="Heading9Char">
    <w:name w:val="Heading 9 Char"/>
    <w:basedOn w:val="DefaultParagraphFont"/>
    <w:link w:val="Heading9"/>
    <w:uiPriority w:val="99"/>
    <w:rsid w:val="00866BDC"/>
    <w:rPr>
      <w:rFonts w:ascii="Verdana" w:hAnsi="Verdana" w:cs="Verdana"/>
      <w:b/>
      <w:color w:val="009FDA"/>
      <w:szCs w:val="18"/>
      <w:lang w:val="en-GB"/>
    </w:rPr>
  </w:style>
  <w:style w:type="paragraph" w:styleId="TOC1">
    <w:name w:val="toc 1"/>
    <w:basedOn w:val="Normal"/>
    <w:uiPriority w:val="99"/>
    <w:semiHidden/>
    <w:unhideWhenUsed/>
    <w:rsid w:val="00866BDC"/>
    <w:pPr>
      <w:tabs>
        <w:tab w:val="right" w:leader="dot" w:pos="9581"/>
      </w:tabs>
      <w:spacing w:before="240"/>
      <w:ind w:left="850" w:right="850" w:hanging="850"/>
    </w:pPr>
    <w:rPr>
      <w:caps/>
      <w:noProof/>
    </w:rPr>
  </w:style>
  <w:style w:type="paragraph" w:styleId="TOC2">
    <w:name w:val="toc 2"/>
    <w:basedOn w:val="Normal"/>
    <w:uiPriority w:val="99"/>
    <w:semiHidden/>
    <w:unhideWhenUsed/>
    <w:rsid w:val="00866BDC"/>
    <w:pPr>
      <w:tabs>
        <w:tab w:val="right" w:pos="9581"/>
      </w:tabs>
      <w:spacing w:before="60"/>
      <w:ind w:left="850" w:right="850" w:hanging="850"/>
    </w:pPr>
    <w:rPr>
      <w:noProof/>
    </w:rPr>
  </w:style>
  <w:style w:type="paragraph" w:styleId="TOC3">
    <w:name w:val="toc 3"/>
    <w:basedOn w:val="Normal"/>
    <w:uiPriority w:val="99"/>
    <w:semiHidden/>
    <w:unhideWhenUsed/>
    <w:rsid w:val="00866BDC"/>
    <w:pPr>
      <w:tabs>
        <w:tab w:val="right" w:pos="9581"/>
      </w:tabs>
      <w:ind w:left="1134" w:right="850" w:hanging="1134"/>
    </w:pPr>
    <w:rPr>
      <w:noProof/>
    </w:rPr>
  </w:style>
  <w:style w:type="paragraph" w:styleId="TOC4">
    <w:name w:val="toc 4"/>
    <w:basedOn w:val="Normal"/>
    <w:uiPriority w:val="99"/>
    <w:semiHidden/>
    <w:unhideWhenUsed/>
    <w:rsid w:val="00866BDC"/>
    <w:pPr>
      <w:tabs>
        <w:tab w:val="right" w:pos="9581"/>
      </w:tabs>
      <w:ind w:left="1417" w:right="850" w:hanging="1417"/>
    </w:pPr>
    <w:rPr>
      <w:noProof/>
    </w:rPr>
  </w:style>
  <w:style w:type="paragraph" w:styleId="TOC5">
    <w:name w:val="toc 5"/>
    <w:basedOn w:val="Normal"/>
    <w:uiPriority w:val="99"/>
    <w:semiHidden/>
    <w:unhideWhenUsed/>
    <w:rsid w:val="00866BDC"/>
    <w:pPr>
      <w:tabs>
        <w:tab w:val="right" w:pos="9581"/>
      </w:tabs>
      <w:ind w:left="1417" w:right="850" w:hanging="1417"/>
    </w:pPr>
    <w:rPr>
      <w:noProof/>
    </w:rPr>
  </w:style>
  <w:style w:type="paragraph" w:styleId="TOC6">
    <w:name w:val="toc 6"/>
    <w:basedOn w:val="TOC1"/>
    <w:uiPriority w:val="99"/>
    <w:semiHidden/>
    <w:unhideWhenUsed/>
    <w:rsid w:val="00866BDC"/>
  </w:style>
  <w:style w:type="paragraph" w:styleId="TOC7">
    <w:name w:val="toc 7"/>
    <w:basedOn w:val="TOC2"/>
    <w:uiPriority w:val="99"/>
    <w:semiHidden/>
    <w:unhideWhenUsed/>
    <w:rsid w:val="00866BDC"/>
  </w:style>
  <w:style w:type="paragraph" w:styleId="TOC8">
    <w:name w:val="toc 8"/>
    <w:basedOn w:val="TOC4"/>
    <w:uiPriority w:val="99"/>
    <w:semiHidden/>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Verdana" w:hAnsi="Verdana" w:cs="Verdana"/>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Verdana" w:hAnsi="Verdana" w:cs="Verdana"/>
      <w:noProof/>
      <w:sz w:val="13"/>
      <w:szCs w:val="18"/>
      <w:lang w:val="en-GB"/>
    </w:rPr>
  </w:style>
  <w:style w:type="paragraph" w:styleId="Caption">
    <w:name w:val="caption"/>
    <w:aliases w:val="GHA Caption,GHA Caption Char Char,GH Caption,GHA Caption Char Char Char Char Char Char Char Char Char,GH - Caption,CEATI Caption,Billedtekst Tegn1,Billedtekst Tegn Tegn,Billedtekst Tegn1 Tegn Tegn,Billedtekst Tegn Tegn Tegn Tegn,TabelOverskri"/>
    <w:basedOn w:val="Normal"/>
    <w:next w:val="BodyText"/>
    <w:link w:val="CaptionChar"/>
    <w:uiPriority w:val="99"/>
    <w:rsid w:val="00866BDC"/>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
    <w:basedOn w:val="Normal"/>
    <w:link w:val="FootnoteTextChar"/>
    <w:uiPriority w:val="99"/>
    <w:rsid w:val="00866BDC"/>
    <w:pPr>
      <w:ind w:left="397" w:hanging="397"/>
    </w:pPr>
    <w:rPr>
      <w:sz w:val="13"/>
    </w:rPr>
  </w:style>
  <w:style w:type="character" w:customStyle="1" w:styleId="FootnoteTextChar">
    <w:name w:val="Footnote Text Char"/>
    <w:aliases w:val="DFSListFootnote Char"/>
    <w:basedOn w:val="DefaultParagraphFont"/>
    <w:link w:val="FootnoteText"/>
    <w:uiPriority w:val="99"/>
    <w:rsid w:val="00866BDC"/>
    <w:rPr>
      <w:rFonts w:ascii="Verdana" w:hAnsi="Verdana" w:cs="Verdana"/>
      <w:sz w:val="13"/>
      <w:szCs w:val="18"/>
      <w:lang w:val="en-GB"/>
    </w:rPr>
  </w:style>
  <w:style w:type="character" w:styleId="FootnoteReference">
    <w:name w:val="footnote reference"/>
    <w:basedOn w:val="DefaultParagraphFont"/>
    <w:uiPriority w:val="99"/>
    <w:semiHidden/>
    <w:unhideWhenUsed/>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Verdana" w:hAnsi="Verdana" w:cs="Verdana"/>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09FDA"/>
      <w:sz w:val="16"/>
    </w:rPr>
  </w:style>
  <w:style w:type="character" w:customStyle="1" w:styleId="DNVGL-HQDetailsChar">
    <w:name w:val="DNVGL-HQ Details Char"/>
    <w:basedOn w:val="DefaultParagraphFont"/>
    <w:link w:val="DNVGL-HQDetails"/>
    <w:uiPriority w:val="99"/>
    <w:rsid w:val="00866BDC"/>
    <w:rPr>
      <w:rFonts w:ascii="Verdana" w:hAnsi="Verdana" w:cs="Verdana"/>
      <w:noProof/>
      <w:color w:val="009FDA"/>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Verdana" w:hAnsi="Verdana" w:cs="Verdana"/>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Verdana" w:hAnsi="Verdana" w:cs="Verdana"/>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Verdana" w:hAnsi="Verdana" w:cs="Verdana"/>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Verdana" w:hAnsi="Verdana" w:cs="Verdana"/>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Verdana" w:hAnsi="Verdana" w:cs="Verdana"/>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Verdana" w:hAnsi="Verdana" w:cs="Verdana"/>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Verdana" w:hAnsi="Verdana" w:cs="Verdana"/>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Verdana" w:hAnsi="Verdana" w:cs="Verdana"/>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Verdana" w:hAnsi="Verdana" w:cs="Verdana"/>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Verdana" w:hAnsi="Verdana" w:cs="Verdana"/>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rsid w:val="00866BDC"/>
    <w:rPr>
      <w:rFonts w:ascii="Verdana" w:hAnsi="Verdana" w:cs="Verdana"/>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09FDA"/>
    </w:rPr>
  </w:style>
  <w:style w:type="character" w:customStyle="1" w:styleId="DNVGL-AppListingChar">
    <w:name w:val="DNVGL-App Listing Char"/>
    <w:basedOn w:val="DefaultParagraphFont"/>
    <w:link w:val="DNVGL-AppListing"/>
    <w:uiPriority w:val="99"/>
    <w:rsid w:val="00866BDC"/>
    <w:rPr>
      <w:rFonts w:ascii="Verdana" w:hAnsi="Verdana" w:cs="Verdana"/>
      <w:color w:val="009FDA"/>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09FDA"/>
      <w:sz w:val="26"/>
    </w:rPr>
  </w:style>
  <w:style w:type="character" w:customStyle="1" w:styleId="DNVGL-AppTextChar">
    <w:name w:val="DNVGL-App Text Char"/>
    <w:basedOn w:val="DefaultParagraphFont"/>
    <w:link w:val="DNVGL-AppText"/>
    <w:uiPriority w:val="99"/>
    <w:rsid w:val="00866BDC"/>
    <w:rPr>
      <w:rFonts w:ascii="Verdana" w:hAnsi="Verdana" w:cs="Verdana"/>
      <w:b/>
      <w:color w:val="009FDA"/>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09FDA"/>
      <w:sz w:val="26"/>
    </w:rPr>
  </w:style>
  <w:style w:type="character" w:customStyle="1" w:styleId="DNVGL-AppendixChar">
    <w:name w:val="DNVGL-Appendix Char"/>
    <w:basedOn w:val="DefaultParagraphFont"/>
    <w:link w:val="DNVGL-Appendix"/>
    <w:uiPriority w:val="99"/>
    <w:rsid w:val="00866BDC"/>
    <w:rPr>
      <w:rFonts w:ascii="Verdana" w:hAnsi="Verdana" w:cs="Verdana"/>
      <w:b/>
      <w:caps/>
      <w:noProof/>
      <w:color w:val="009FDA"/>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09FDA"/>
      <w:sz w:val="26"/>
    </w:rPr>
  </w:style>
  <w:style w:type="character" w:customStyle="1" w:styleId="DNVGL-BackcoverTitleChar">
    <w:name w:val="DNVGL-Backcover Title Char"/>
    <w:basedOn w:val="DefaultParagraphFont"/>
    <w:link w:val="DNVGL-BackcoverTitle"/>
    <w:uiPriority w:val="99"/>
    <w:rsid w:val="00866BDC"/>
    <w:rPr>
      <w:rFonts w:ascii="Verdana" w:hAnsi="Verdana" w:cs="Verdana"/>
      <w:b/>
      <w:noProof/>
      <w:color w:val="009FDA"/>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09FDA"/>
    </w:rPr>
  </w:style>
  <w:style w:type="character" w:customStyle="1" w:styleId="BodytexthighlightChar">
    <w:name w:val="Body text highlight Char"/>
    <w:basedOn w:val="DefaultParagraphFont"/>
    <w:link w:val="Bodytexthighlight"/>
    <w:uiPriority w:val="99"/>
    <w:rsid w:val="00866BDC"/>
    <w:rPr>
      <w:rFonts w:ascii="Verdana" w:hAnsi="Verdana" w:cs="Verdana"/>
      <w:color w:val="009FDA"/>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Verdana" w:hAnsi="Verdana" w:cs="Verdana"/>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Verdana" w:hAnsi="Verdana" w:cs="Verdana"/>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Verdana" w:hAnsi="Verdana" w:cs="Verdana"/>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Verdana" w:hAnsi="Verdana" w:cs="Verdana"/>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Verdana" w:hAnsi="Verdana" w:cs="Verdana"/>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Verdana" w:hAnsi="Verdana" w:cs="Verdana"/>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Verdana" w:hAnsi="Verdana" w:cs="Verdana"/>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Verdana" w:hAnsi="Verdana" w:cs="Verdana"/>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Verdana" w:hAnsi="Verdana" w:cs="Verdana"/>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0B1EC"/>
      <w:sz w:val="56"/>
    </w:rPr>
  </w:style>
  <w:style w:type="character" w:customStyle="1" w:styleId="DNVGL-Cover-ReportTitleChar">
    <w:name w:val="DNVGL-Cover-ReportTitle Char"/>
    <w:basedOn w:val="DefaultParagraphFont"/>
    <w:link w:val="DNVGL-Cover-ReportTitle"/>
    <w:uiPriority w:val="99"/>
    <w:rsid w:val="00221210"/>
    <w:rPr>
      <w:rFonts w:ascii="Verdana" w:hAnsi="Verdana" w:cs="Verdana"/>
      <w:b/>
      <w:color w:val="00B1EC"/>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Verdana" w:hAnsi="Verdana" w:cs="Verdana"/>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Verdana" w:hAnsi="Verdana" w:cs="Verdana"/>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Verdana" w:hAnsi="Verdana" w:cs="Verdana"/>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Verdana" w:hAnsi="Verdana" w:cs="Verdana"/>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Verdana" w:hAnsi="Verdana" w:cs="Verdana"/>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Verdana" w:hAnsi="Verdana" w:cs="Verdana"/>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Verdana" w:hAnsi="Verdana" w:cs="Verdana"/>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Verdana" w:hAnsi="Verdana" w:cs="Verdana"/>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Verdana" w:hAnsi="Verdana" w:cs="Verdana"/>
      <w:sz w:val="18"/>
      <w:szCs w:val="18"/>
      <w:lang w:val="en-GB"/>
    </w:rPr>
  </w:style>
  <w:style w:type="character" w:styleId="CommentReference">
    <w:name w:val="annotation reference"/>
    <w:basedOn w:val="DefaultParagraphFont"/>
    <w:uiPriority w:val="99"/>
    <w:semiHidden/>
    <w:unhideWhenUsed/>
    <w:rsid w:val="00866BDC"/>
    <w:rPr>
      <w:sz w:val="16"/>
      <w:szCs w:val="16"/>
    </w:rPr>
  </w:style>
  <w:style w:type="paragraph" w:styleId="CommentText">
    <w:name w:val="annotation text"/>
    <w:basedOn w:val="Normal"/>
    <w:link w:val="CommentTextChar"/>
    <w:uiPriority w:val="99"/>
    <w:semiHidden/>
    <w:unhideWhenUsed/>
    <w:rsid w:val="00866BDC"/>
    <w:rPr>
      <w:sz w:val="20"/>
      <w:szCs w:val="20"/>
    </w:rPr>
  </w:style>
  <w:style w:type="character" w:customStyle="1" w:styleId="CommentTextChar">
    <w:name w:val="Comment Text Char"/>
    <w:basedOn w:val="DefaultParagraphFont"/>
    <w:link w:val="CommentText"/>
    <w:uiPriority w:val="99"/>
    <w:semiHidden/>
    <w:rsid w:val="00866BDC"/>
    <w:rPr>
      <w:rFonts w:ascii="Verdana" w:hAnsi="Verdana" w:cs="Verdana"/>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Verdana" w:hAnsi="Verdana" w:cs="Verdana"/>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Verdana" w:hAnsi="Verdana" w:cs="Verdana"/>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Verdana" w:hAnsi="Verdana" w:cs="Verdana"/>
      <w:sz w:val="18"/>
      <w:szCs w:val="18"/>
      <w:lang w:val="en-GB"/>
    </w:rPr>
  </w:style>
  <w:style w:type="character" w:styleId="Emphasis">
    <w:name w:val="Emphasis"/>
    <w:basedOn w:val="DefaultParagraphFont"/>
    <w:uiPriority w:val="99"/>
    <w:semiHidden/>
    <w:unhideWhenUsed/>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Verdana" w:hAnsi="Verdana" w:cs="Verdana"/>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Verdana" w:hAnsi="Verdana" w:cs="Verdana"/>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Verdana"/>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semiHidden/>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semiHidden/>
    <w:unhideWhenUsed/>
    <w:rsid w:val="00866BDC"/>
    <w:rPr>
      <w:b/>
      <w:bCs/>
      <w:i/>
      <w:iCs/>
      <w:color w:val="4F81BD" w:themeColor="accent1"/>
    </w:rPr>
  </w:style>
  <w:style w:type="paragraph" w:styleId="IntenseQuote">
    <w:name w:val="Intense Quote"/>
    <w:basedOn w:val="Normal"/>
    <w:next w:val="Normal"/>
    <w:link w:val="IntenseQuoteChar"/>
    <w:uiPriority w:val="99"/>
    <w:semiHidden/>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66BDC"/>
    <w:rPr>
      <w:rFonts w:ascii="Verdana" w:hAnsi="Verdana" w:cs="Verdana"/>
      <w:b/>
      <w:bCs/>
      <w:i/>
      <w:iCs/>
      <w:color w:val="4F81BD" w:themeColor="accent1"/>
      <w:sz w:val="18"/>
      <w:szCs w:val="18"/>
      <w:lang w:val="en-GB"/>
    </w:rPr>
  </w:style>
  <w:style w:type="character" w:styleId="IntenseReference">
    <w:name w:val="Intense Reference"/>
    <w:basedOn w:val="DefaultParagraphFont"/>
    <w:uiPriority w:val="99"/>
    <w:semiHidden/>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basedOn w:val="Normal"/>
    <w:uiPriority w:val="99"/>
    <w:unhideWhenUsed/>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Verdana"/>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Verdana"/>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link w:val="NoSpacingChar"/>
    <w:uiPriority w:val="1"/>
    <w:unhideWhenUsed/>
    <w:qFormat/>
    <w:rsid w:val="00866BDC"/>
    <w:pPr>
      <w:spacing w:after="0" w:line="240" w:lineRule="auto"/>
    </w:pPr>
    <w:rPr>
      <w:rFonts w:ascii="Verdana" w:hAnsi="Verdana" w:cs="Verdana"/>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customStyle="1" w:styleId="NoteHeading1">
    <w:name w:val="Note Heading1"/>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1"/>
    <w:uiPriority w:val="99"/>
    <w:semiHidden/>
    <w:rsid w:val="00866BDC"/>
    <w:rPr>
      <w:rFonts w:ascii="Verdana" w:hAnsi="Verdana" w:cs="Verdana"/>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Verdana"/>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customStyle="1" w:styleId="QuoteChar">
    <w:name w:val="Quote Char"/>
    <w:basedOn w:val="DefaultParagraphFont"/>
    <w:link w:val="Quote"/>
    <w:uiPriority w:val="29"/>
    <w:rsid w:val="00866BDC"/>
    <w:rPr>
      <w:rFonts w:ascii="Verdana" w:hAnsi="Verdana" w:cs="Verdana"/>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Verdana" w:hAnsi="Verdana" w:cs="Verdana"/>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Verdana" w:hAnsi="Verdana" w:cs="Verdana"/>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semiHidden/>
    <w:unhideWhenUsed/>
    <w:rsid w:val="00866BDC"/>
  </w:style>
  <w:style w:type="paragraph" w:styleId="Title">
    <w:name w:val="Title"/>
    <w:basedOn w:val="Normal"/>
    <w:next w:val="Normal"/>
    <w:link w:val="TitleChar"/>
    <w:uiPriority w:val="99"/>
    <w:semiHidden/>
    <w:unhideWhenUsed/>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99"/>
    <w:semiHidden/>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numbering" w:styleId="111111">
    <w:name w:val="Outline List 2"/>
    <w:basedOn w:val="NoList"/>
    <w:uiPriority w:val="99"/>
    <w:semiHidden/>
    <w:unhideWhenUsed/>
    <w:rsid w:val="00B24545"/>
    <w:pPr>
      <w:numPr>
        <w:numId w:val="13"/>
      </w:numPr>
    </w:pPr>
  </w:style>
  <w:style w:type="numbering" w:styleId="1ai">
    <w:name w:val="Outline List 1"/>
    <w:basedOn w:val="NoList"/>
    <w:uiPriority w:val="99"/>
    <w:semiHidden/>
    <w:unhideWhenUsed/>
    <w:rsid w:val="00B24545"/>
    <w:pPr>
      <w:numPr>
        <w:numId w:val="14"/>
      </w:numPr>
    </w:pPr>
  </w:style>
  <w:style w:type="numbering" w:styleId="ArticleSection">
    <w:name w:val="Outline List 3"/>
    <w:basedOn w:val="NoList"/>
    <w:uiPriority w:val="99"/>
    <w:semiHidden/>
    <w:unhideWhenUsed/>
    <w:rsid w:val="00B24545"/>
    <w:pPr>
      <w:numPr>
        <w:numId w:val="15"/>
      </w:numPr>
    </w:pPr>
  </w:style>
  <w:style w:type="table" w:styleId="ColorfulGrid">
    <w:name w:val="Colorful Grid"/>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99"/>
    <w:semiHidden/>
    <w:unhideWhenUsed/>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B2454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GridTable1Light1">
    <w:name w:val="Grid Table 1 Light1"/>
    <w:basedOn w:val="TableNormal"/>
    <w:uiPriority w:val="99"/>
    <w:rsid w:val="00B24545"/>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99"/>
    <w:rsid w:val="00B24545"/>
    <w:pPr>
      <w:spacing w:after="0" w:line="240" w:lineRule="auto"/>
    </w:p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99"/>
    <w:rsid w:val="00B24545"/>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99"/>
    <w:rsid w:val="00B24545"/>
    <w:pPr>
      <w:spacing w:after="0" w:line="240" w:lineRule="auto"/>
    </w:pPr>
    <w:tblPr>
      <w:tblStyleRowBandSize w:val="1"/>
      <w:tblStyleColBandSize w:val="1"/>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99"/>
    <w:rsid w:val="00B24545"/>
    <w:pPr>
      <w:spacing w:after="0" w:line="240" w:lineRule="auto"/>
    </w:pPr>
    <w:tblPr>
      <w:tblStyleRowBandSize w:val="1"/>
      <w:tblStyleColBandSize w:val="1"/>
      <w:tblInd w:w="0" w:type="dxa"/>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CellMar>
        <w:top w:w="0" w:type="dxa"/>
        <w:left w:w="108" w:type="dxa"/>
        <w:bottom w:w="0" w:type="dxa"/>
        <w:right w:w="108" w:type="dxa"/>
      </w:tblCellMar>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99"/>
    <w:rsid w:val="00B24545"/>
    <w:pPr>
      <w:spacing w:after="0" w:line="240" w:lineRule="auto"/>
    </w:pPr>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99"/>
    <w:rsid w:val="00B24545"/>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99"/>
    <w:rsid w:val="00B24545"/>
    <w:pPr>
      <w:spacing w:after="0" w:line="240" w:lineRule="auto"/>
    </w:p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99"/>
    <w:rsid w:val="00B24545"/>
    <w:pPr>
      <w:spacing w:after="0" w:line="240" w:lineRule="auto"/>
    </w:pPr>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99"/>
    <w:rsid w:val="00B24545"/>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99"/>
    <w:rsid w:val="00B24545"/>
    <w:pPr>
      <w:spacing w:after="0" w:line="240" w:lineRule="auto"/>
    </w:pPr>
    <w:tblPr>
      <w:tblStyleRowBandSize w:val="1"/>
      <w:tblStyleColBandSize w:val="1"/>
      <w:tblInd w:w="0" w:type="dxa"/>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CellMar>
        <w:top w:w="0" w:type="dxa"/>
        <w:left w:w="108" w:type="dxa"/>
        <w:bottom w:w="0" w:type="dxa"/>
        <w:right w:w="108" w:type="dxa"/>
      </w:tblCellMar>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99"/>
    <w:rsid w:val="00B24545"/>
    <w:pPr>
      <w:spacing w:after="0" w:line="240" w:lineRule="auto"/>
    </w:pPr>
    <w:tblPr>
      <w:tblStyleRowBandSize w:val="1"/>
      <w:tblStyleColBandSize w:val="1"/>
      <w:tblInd w:w="0" w:type="dxa"/>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CellMar>
        <w:top w:w="0" w:type="dxa"/>
        <w:left w:w="108" w:type="dxa"/>
        <w:bottom w:w="0" w:type="dxa"/>
        <w:right w:w="108" w:type="dxa"/>
      </w:tblCellMar>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99"/>
    <w:rsid w:val="00B24545"/>
    <w:pPr>
      <w:spacing w:after="0" w:line="240" w:lineRule="auto"/>
    </w:pPr>
    <w:tblPr>
      <w:tblStyleRowBandSize w:val="1"/>
      <w:tblStyleColBandSize w:val="1"/>
      <w:tblInd w:w="0" w:type="dxa"/>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CellMar>
        <w:top w:w="0" w:type="dxa"/>
        <w:left w:w="108" w:type="dxa"/>
        <w:bottom w:w="0" w:type="dxa"/>
        <w:right w:w="108" w:type="dxa"/>
      </w:tblCellMar>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99"/>
    <w:rsid w:val="00B24545"/>
    <w:pPr>
      <w:spacing w:after="0" w:line="240" w:lineRule="auto"/>
    </w:pPr>
    <w:tblPr>
      <w:tblStyleRowBandSize w:val="1"/>
      <w:tblStyleColBandSize w:val="1"/>
      <w:tblInd w:w="0" w:type="dxa"/>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CellMar>
        <w:top w:w="0" w:type="dxa"/>
        <w:left w:w="108" w:type="dxa"/>
        <w:bottom w:w="0" w:type="dxa"/>
        <w:right w:w="108" w:type="dxa"/>
      </w:tblCellMar>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99"/>
    <w:rsid w:val="00B24545"/>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99"/>
    <w:rsid w:val="00B24545"/>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99"/>
    <w:rsid w:val="00B24545"/>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99"/>
    <w:rsid w:val="00B24545"/>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99"/>
    <w:rsid w:val="00B24545"/>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99"/>
    <w:rsid w:val="00B24545"/>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99"/>
    <w:rsid w:val="00B24545"/>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99"/>
    <w:rsid w:val="00B24545"/>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99"/>
    <w:rsid w:val="00B24545"/>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99"/>
    <w:rsid w:val="00B24545"/>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99"/>
    <w:rsid w:val="00B24545"/>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99"/>
    <w:rsid w:val="00B24545"/>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99"/>
    <w:rsid w:val="00B24545"/>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99"/>
    <w:rsid w:val="00B24545"/>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99"/>
    <w:rsid w:val="00B2454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99"/>
    <w:rsid w:val="00B24545"/>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99"/>
    <w:rsid w:val="00B24545"/>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99"/>
    <w:rsid w:val="00B24545"/>
    <w:pPr>
      <w:spacing w:after="0" w:line="240" w:lineRule="auto"/>
    </w:pPr>
    <w:rPr>
      <w:color w:val="943634" w:themeColor="accent2" w:themeShade="BF"/>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99"/>
    <w:rsid w:val="00B24545"/>
    <w:pPr>
      <w:spacing w:after="0" w:line="240" w:lineRule="auto"/>
    </w:pPr>
    <w:rPr>
      <w:color w:val="76923C" w:themeColor="accent3" w:themeShade="BF"/>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99"/>
    <w:rsid w:val="00B24545"/>
    <w:pPr>
      <w:spacing w:after="0" w:line="240" w:lineRule="auto"/>
    </w:pPr>
    <w:rPr>
      <w:color w:val="5F497A" w:themeColor="accent4" w:themeShade="BF"/>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99"/>
    <w:rsid w:val="00B24545"/>
    <w:pPr>
      <w:spacing w:after="0" w:line="240" w:lineRule="auto"/>
    </w:pPr>
    <w:rPr>
      <w:color w:val="31849B" w:themeColor="accent5" w:themeShade="BF"/>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99"/>
    <w:rsid w:val="00B24545"/>
    <w:pPr>
      <w:spacing w:after="0" w:line="240" w:lineRule="auto"/>
    </w:pPr>
    <w:rPr>
      <w:color w:val="E36C0A" w:themeColor="accent6" w:themeShade="BF"/>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99"/>
    <w:rsid w:val="00B24545"/>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99"/>
    <w:rsid w:val="00B24545"/>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99"/>
    <w:rsid w:val="00B24545"/>
    <w:pPr>
      <w:spacing w:after="0" w:line="240" w:lineRule="auto"/>
    </w:pPr>
    <w:rPr>
      <w:color w:val="943634" w:themeColor="accent2" w:themeShade="BF"/>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99"/>
    <w:rsid w:val="00B24545"/>
    <w:pPr>
      <w:spacing w:after="0" w:line="240" w:lineRule="auto"/>
    </w:pPr>
    <w:rPr>
      <w:color w:val="76923C" w:themeColor="accent3" w:themeShade="BF"/>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99"/>
    <w:rsid w:val="00B24545"/>
    <w:pPr>
      <w:spacing w:after="0" w:line="240" w:lineRule="auto"/>
    </w:pPr>
    <w:rPr>
      <w:color w:val="5F497A" w:themeColor="accent4" w:themeShade="BF"/>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99"/>
    <w:rsid w:val="00B24545"/>
    <w:pPr>
      <w:spacing w:after="0" w:line="240" w:lineRule="auto"/>
    </w:pPr>
    <w:rPr>
      <w:color w:val="31849B" w:themeColor="accent5" w:themeShade="BF"/>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99"/>
    <w:rsid w:val="00B24545"/>
    <w:pPr>
      <w:spacing w:after="0" w:line="240" w:lineRule="auto"/>
    </w:pPr>
    <w:rPr>
      <w:color w:val="E36C0A" w:themeColor="accent6" w:themeShade="BF"/>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customStyle="1" w:styleId="Hashtag1">
    <w:name w:val="Hashtag1"/>
    <w:basedOn w:val="DefaultParagraphFont"/>
    <w:uiPriority w:val="99"/>
    <w:semiHidden/>
    <w:unhideWhenUsed/>
    <w:rsid w:val="00B24545"/>
    <w:rPr>
      <w:color w:val="2B579A"/>
      <w:shd w:val="clear" w:color="auto" w:fill="E6E6E6"/>
    </w:rPr>
  </w:style>
  <w:style w:type="table" w:styleId="LightGrid">
    <w:name w:val="Light Grid"/>
    <w:basedOn w:val="TableNormal"/>
    <w:uiPriority w:val="99"/>
    <w:semiHidden/>
    <w:unhideWhenUsed/>
    <w:rsid w:val="00B2454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B24545"/>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B24545"/>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B2454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B24545"/>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B24545"/>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B24545"/>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B2454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B24545"/>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B24545"/>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B2454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B24545"/>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B24545"/>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B24545"/>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B2454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B2454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B24545"/>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B2454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B24545"/>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B24545"/>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B24545"/>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ListTable1Light1">
    <w:name w:val="List Table 1 Light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99"/>
    <w:rsid w:val="00B24545"/>
    <w:pPr>
      <w:spacing w:after="0" w:line="240" w:lineRule="auto"/>
    </w:p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99"/>
    <w:rsid w:val="00B24545"/>
    <w:pPr>
      <w:spacing w:after="0" w:line="240" w:lineRule="auto"/>
    </w:pPr>
    <w:tblPr>
      <w:tblStyleRowBandSize w:val="1"/>
      <w:tblStyleColBandSize w:val="1"/>
      <w:tblInd w:w="0" w:type="dxa"/>
      <w:tblBorders>
        <w:top w:val="single" w:sz="4" w:space="0" w:color="95B3D7" w:themeColor="accent1" w:themeTint="99"/>
        <w:bottom w:val="single" w:sz="4" w:space="0" w:color="95B3D7" w:themeColor="accent1" w:themeTint="99"/>
        <w:insideH w:val="single" w:sz="4" w:space="0" w:color="95B3D7" w:themeColor="accen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99"/>
    <w:rsid w:val="00B24545"/>
    <w:pPr>
      <w:spacing w:after="0" w:line="240" w:lineRule="auto"/>
    </w:pPr>
    <w:tblPr>
      <w:tblStyleRowBandSize w:val="1"/>
      <w:tblStyleColBandSize w:val="1"/>
      <w:tblInd w:w="0" w:type="dxa"/>
      <w:tblBorders>
        <w:top w:val="single" w:sz="4" w:space="0" w:color="D99594" w:themeColor="accent2" w:themeTint="99"/>
        <w:bottom w:val="single" w:sz="4" w:space="0" w:color="D99594" w:themeColor="accent2" w:themeTint="99"/>
        <w:insideH w:val="single" w:sz="4" w:space="0" w:color="D99594" w:themeColor="accent2"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99"/>
    <w:rsid w:val="00B24545"/>
    <w:pPr>
      <w:spacing w:after="0" w:line="240" w:lineRule="auto"/>
    </w:pPr>
    <w:tblPr>
      <w:tblStyleRowBandSize w:val="1"/>
      <w:tblStyleColBandSize w:val="1"/>
      <w:tblInd w:w="0" w:type="dxa"/>
      <w:tblBorders>
        <w:top w:val="single" w:sz="4" w:space="0" w:color="C2D69B" w:themeColor="accent3" w:themeTint="99"/>
        <w:bottom w:val="single" w:sz="4" w:space="0" w:color="C2D69B" w:themeColor="accent3" w:themeTint="99"/>
        <w:insideH w:val="single" w:sz="4" w:space="0" w:color="C2D69B" w:themeColor="accent3"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99"/>
    <w:rsid w:val="00B24545"/>
    <w:pPr>
      <w:spacing w:after="0" w:line="240" w:lineRule="auto"/>
    </w:pPr>
    <w:tblPr>
      <w:tblStyleRowBandSize w:val="1"/>
      <w:tblStyleColBandSize w:val="1"/>
      <w:tblInd w:w="0" w:type="dxa"/>
      <w:tblBorders>
        <w:top w:val="single" w:sz="4" w:space="0" w:color="B2A1C7" w:themeColor="accent4" w:themeTint="99"/>
        <w:bottom w:val="single" w:sz="4" w:space="0" w:color="B2A1C7" w:themeColor="accent4" w:themeTint="99"/>
        <w:insideH w:val="single" w:sz="4" w:space="0" w:color="B2A1C7" w:themeColor="accent4"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99"/>
    <w:rsid w:val="00B24545"/>
    <w:pPr>
      <w:spacing w:after="0" w:line="240" w:lineRule="auto"/>
    </w:pPr>
    <w:tblPr>
      <w:tblStyleRowBandSize w:val="1"/>
      <w:tblStyleColBandSize w:val="1"/>
      <w:tblInd w:w="0" w:type="dxa"/>
      <w:tblBorders>
        <w:top w:val="single" w:sz="4" w:space="0" w:color="92CDDC" w:themeColor="accent5" w:themeTint="99"/>
        <w:bottom w:val="single" w:sz="4" w:space="0" w:color="92CDDC" w:themeColor="accent5" w:themeTint="99"/>
        <w:insideH w:val="single" w:sz="4" w:space="0" w:color="92CDDC" w:themeColor="accent5"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99"/>
    <w:rsid w:val="00B24545"/>
    <w:pPr>
      <w:spacing w:after="0" w:line="240" w:lineRule="auto"/>
    </w:pPr>
    <w:tblPr>
      <w:tblStyleRowBandSize w:val="1"/>
      <w:tblStyleColBandSize w:val="1"/>
      <w:tblInd w:w="0" w:type="dxa"/>
      <w:tblBorders>
        <w:top w:val="single" w:sz="4" w:space="0" w:color="FABF8F" w:themeColor="accent6" w:themeTint="99"/>
        <w:bottom w:val="single" w:sz="4" w:space="0" w:color="FABF8F" w:themeColor="accent6" w:themeTint="99"/>
        <w:insideH w:val="single" w:sz="4" w:space="0" w:color="FABF8F" w:themeColor="accent6"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99"/>
    <w:rsid w:val="00B24545"/>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99"/>
    <w:rsid w:val="00B24545"/>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99"/>
    <w:rsid w:val="00B24545"/>
    <w:pPr>
      <w:spacing w:after="0" w:line="240" w:lineRule="auto"/>
    </w:pPr>
    <w:tblPr>
      <w:tblStyleRowBandSize w:val="1"/>
      <w:tblStyleColBandSize w:val="1"/>
      <w:tblInd w:w="0" w:type="dxa"/>
      <w:tblBorders>
        <w:top w:val="single" w:sz="4" w:space="0" w:color="C0504D" w:themeColor="accent2"/>
        <w:left w:val="single" w:sz="4" w:space="0" w:color="C0504D" w:themeColor="accent2"/>
        <w:bottom w:val="single" w:sz="4" w:space="0" w:color="C0504D" w:themeColor="accent2"/>
        <w:right w:val="single" w:sz="4" w:space="0" w:color="C0504D" w:themeColor="accent2"/>
      </w:tblBorders>
      <w:tblCellMar>
        <w:top w:w="0" w:type="dxa"/>
        <w:left w:w="108" w:type="dxa"/>
        <w:bottom w:w="0" w:type="dxa"/>
        <w:right w:w="108" w:type="dxa"/>
      </w:tblCellMar>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99"/>
    <w:rsid w:val="00B24545"/>
    <w:pPr>
      <w:spacing w:after="0" w:line="240" w:lineRule="auto"/>
    </w:pPr>
    <w:tblPr>
      <w:tblStyleRowBandSize w:val="1"/>
      <w:tblStyleColBandSize w:val="1"/>
      <w:tblInd w:w="0" w:type="dxa"/>
      <w:tblBorders>
        <w:top w:val="single" w:sz="4" w:space="0" w:color="9BBB59" w:themeColor="accent3"/>
        <w:left w:val="single" w:sz="4" w:space="0" w:color="9BBB59" w:themeColor="accent3"/>
        <w:bottom w:val="single" w:sz="4" w:space="0" w:color="9BBB59" w:themeColor="accent3"/>
        <w:right w:val="single" w:sz="4" w:space="0" w:color="9BBB59" w:themeColor="accent3"/>
      </w:tblBorders>
      <w:tblCellMar>
        <w:top w:w="0" w:type="dxa"/>
        <w:left w:w="108" w:type="dxa"/>
        <w:bottom w:w="0" w:type="dxa"/>
        <w:right w:w="108" w:type="dxa"/>
      </w:tblCellMar>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99"/>
    <w:rsid w:val="00B24545"/>
    <w:pPr>
      <w:spacing w:after="0" w:line="240" w:lineRule="auto"/>
    </w:pPr>
    <w:tblPr>
      <w:tblStyleRowBandSize w:val="1"/>
      <w:tblStyleColBandSize w:val="1"/>
      <w:tblInd w:w="0" w:type="dxa"/>
      <w:tblBorders>
        <w:top w:val="single" w:sz="4" w:space="0" w:color="8064A2" w:themeColor="accent4"/>
        <w:left w:val="single" w:sz="4" w:space="0" w:color="8064A2" w:themeColor="accent4"/>
        <w:bottom w:val="single" w:sz="4" w:space="0" w:color="8064A2" w:themeColor="accent4"/>
        <w:right w:val="single" w:sz="4" w:space="0" w:color="8064A2" w:themeColor="accent4"/>
      </w:tblBorders>
      <w:tblCellMar>
        <w:top w:w="0" w:type="dxa"/>
        <w:left w:w="108" w:type="dxa"/>
        <w:bottom w:w="0" w:type="dxa"/>
        <w:right w:w="108" w:type="dxa"/>
      </w:tblCellMar>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99"/>
    <w:rsid w:val="00B24545"/>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99"/>
    <w:rsid w:val="00B24545"/>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tblBorders>
      <w:tblCellMar>
        <w:top w:w="0" w:type="dxa"/>
        <w:left w:w="108" w:type="dxa"/>
        <w:bottom w:w="0" w:type="dxa"/>
        <w:right w:w="108" w:type="dxa"/>
      </w:tblCellMar>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99"/>
    <w:rsid w:val="00B24545"/>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99"/>
    <w:rsid w:val="00B24545"/>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99"/>
    <w:rsid w:val="00B24545"/>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99"/>
    <w:rsid w:val="00B24545"/>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99"/>
    <w:rsid w:val="00B24545"/>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99"/>
    <w:rsid w:val="00B24545"/>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99"/>
    <w:rsid w:val="00B24545"/>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000000" w:themeColor="text1"/>
        <w:left w:val="single" w:sz="24" w:space="0" w:color="000000" w:themeColor="text1"/>
        <w:bottom w:val="single" w:sz="24" w:space="0" w:color="000000" w:themeColor="text1"/>
        <w:right w:val="single" w:sz="24" w:space="0" w:color="000000" w:themeColor="text1"/>
      </w:tblBorders>
      <w:tblCellMar>
        <w:top w:w="0" w:type="dxa"/>
        <w:left w:w="108" w:type="dxa"/>
        <w:bottom w:w="0" w:type="dxa"/>
        <w:right w:w="108" w:type="dxa"/>
      </w:tblCellMar>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CellMar>
        <w:top w:w="0" w:type="dxa"/>
        <w:left w:w="108" w:type="dxa"/>
        <w:bottom w:w="0" w:type="dxa"/>
        <w:right w:w="108" w:type="dxa"/>
      </w:tblCellMar>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CellMar>
        <w:top w:w="0" w:type="dxa"/>
        <w:left w:w="108" w:type="dxa"/>
        <w:bottom w:w="0" w:type="dxa"/>
        <w:right w:w="108" w:type="dxa"/>
      </w:tblCellMar>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CellMar>
        <w:top w:w="0" w:type="dxa"/>
        <w:left w:w="108" w:type="dxa"/>
        <w:bottom w:w="0" w:type="dxa"/>
        <w:right w:w="108" w:type="dxa"/>
      </w:tblCellMar>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CellMar>
        <w:top w:w="0" w:type="dxa"/>
        <w:left w:w="108" w:type="dxa"/>
        <w:bottom w:w="0" w:type="dxa"/>
        <w:right w:w="108" w:type="dxa"/>
      </w:tblCellMar>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CellMar>
        <w:top w:w="0" w:type="dxa"/>
        <w:left w:w="108" w:type="dxa"/>
        <w:bottom w:w="0" w:type="dxa"/>
        <w:right w:w="108" w:type="dxa"/>
      </w:tblCellMar>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99"/>
    <w:rsid w:val="00B24545"/>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99"/>
    <w:rsid w:val="00B24545"/>
    <w:pPr>
      <w:spacing w:after="0" w:line="240" w:lineRule="auto"/>
    </w:pPr>
    <w:rPr>
      <w:color w:val="000000" w:themeColor="text1"/>
    </w:rPr>
    <w:tblPr>
      <w:tblStyleRowBandSize w:val="1"/>
      <w:tblStyleColBandSize w:val="1"/>
      <w:tblInd w:w="0" w:type="dxa"/>
      <w:tblBorders>
        <w:top w:val="single" w:sz="4" w:space="0" w:color="000000" w:themeColor="text1"/>
        <w:bottom w:val="single" w:sz="4" w:space="0" w:color="000000" w:themeColor="text1"/>
      </w:tblBorders>
      <w:tblCellMar>
        <w:top w:w="0" w:type="dxa"/>
        <w:left w:w="108" w:type="dxa"/>
        <w:bottom w:w="0" w:type="dxa"/>
        <w:right w:w="108" w:type="dxa"/>
      </w:tblCellMar>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99"/>
    <w:rsid w:val="00B24545"/>
    <w:pPr>
      <w:spacing w:after="0" w:line="240" w:lineRule="auto"/>
    </w:pPr>
    <w:rPr>
      <w:color w:val="365F91" w:themeColor="accent1" w:themeShade="BF"/>
    </w:r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99"/>
    <w:rsid w:val="00B24545"/>
    <w:pPr>
      <w:spacing w:after="0" w:line="240" w:lineRule="auto"/>
    </w:pPr>
    <w:rPr>
      <w:color w:val="943634" w:themeColor="accent2" w:themeShade="BF"/>
    </w:rPr>
    <w:tblPr>
      <w:tblStyleRowBandSize w:val="1"/>
      <w:tblStyleColBandSize w:val="1"/>
      <w:tblInd w:w="0" w:type="dxa"/>
      <w:tblBorders>
        <w:top w:val="single" w:sz="4" w:space="0" w:color="C0504D" w:themeColor="accent2"/>
        <w:bottom w:val="single" w:sz="4" w:space="0" w:color="C0504D" w:themeColor="accent2"/>
      </w:tblBorders>
      <w:tblCellMar>
        <w:top w:w="0" w:type="dxa"/>
        <w:left w:w="108" w:type="dxa"/>
        <w:bottom w:w="0" w:type="dxa"/>
        <w:right w:w="108" w:type="dxa"/>
      </w:tblCellMar>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99"/>
    <w:rsid w:val="00B24545"/>
    <w:pPr>
      <w:spacing w:after="0" w:line="240" w:lineRule="auto"/>
    </w:pPr>
    <w:rPr>
      <w:color w:val="76923C" w:themeColor="accent3" w:themeShade="BF"/>
    </w:rPr>
    <w:tblPr>
      <w:tblStyleRowBandSize w:val="1"/>
      <w:tblStyleColBandSize w:val="1"/>
      <w:tblInd w:w="0" w:type="dxa"/>
      <w:tblBorders>
        <w:top w:val="single" w:sz="4" w:space="0" w:color="9BBB59" w:themeColor="accent3"/>
        <w:bottom w:val="single" w:sz="4" w:space="0" w:color="9BBB59" w:themeColor="accent3"/>
      </w:tblBorders>
      <w:tblCellMar>
        <w:top w:w="0" w:type="dxa"/>
        <w:left w:w="108" w:type="dxa"/>
        <w:bottom w:w="0" w:type="dxa"/>
        <w:right w:w="108" w:type="dxa"/>
      </w:tblCellMar>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99"/>
    <w:rsid w:val="00B24545"/>
    <w:pPr>
      <w:spacing w:after="0" w:line="240" w:lineRule="auto"/>
    </w:pPr>
    <w:rPr>
      <w:color w:val="5F497A" w:themeColor="accent4" w:themeShade="BF"/>
    </w:rPr>
    <w:tblPr>
      <w:tblStyleRowBandSize w:val="1"/>
      <w:tblStyleColBandSize w:val="1"/>
      <w:tblInd w:w="0" w:type="dxa"/>
      <w:tblBorders>
        <w:top w:val="single" w:sz="4" w:space="0" w:color="8064A2" w:themeColor="accent4"/>
        <w:bottom w:val="single" w:sz="4" w:space="0" w:color="8064A2" w:themeColor="accent4"/>
      </w:tblBorders>
      <w:tblCellMar>
        <w:top w:w="0" w:type="dxa"/>
        <w:left w:w="108" w:type="dxa"/>
        <w:bottom w:w="0" w:type="dxa"/>
        <w:right w:w="108" w:type="dxa"/>
      </w:tblCellMar>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99"/>
    <w:rsid w:val="00B24545"/>
    <w:pPr>
      <w:spacing w:after="0" w:line="240" w:lineRule="auto"/>
    </w:pPr>
    <w:rPr>
      <w:color w:val="31849B" w:themeColor="accent5" w:themeShade="BF"/>
    </w:rPr>
    <w:tblPr>
      <w:tblStyleRowBandSize w:val="1"/>
      <w:tblStyleColBandSize w:val="1"/>
      <w:tblInd w:w="0" w:type="dxa"/>
      <w:tblBorders>
        <w:top w:val="single" w:sz="4" w:space="0" w:color="4BACC6" w:themeColor="accent5"/>
        <w:bottom w:val="single" w:sz="4" w:space="0" w:color="4BACC6" w:themeColor="accent5"/>
      </w:tblBorders>
      <w:tblCellMar>
        <w:top w:w="0" w:type="dxa"/>
        <w:left w:w="108" w:type="dxa"/>
        <w:bottom w:w="0" w:type="dxa"/>
        <w:right w:w="108" w:type="dxa"/>
      </w:tblCellMar>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99"/>
    <w:rsid w:val="00B24545"/>
    <w:pPr>
      <w:spacing w:after="0" w:line="240" w:lineRule="auto"/>
    </w:pPr>
    <w:rPr>
      <w:color w:val="E36C0A" w:themeColor="accent6" w:themeShade="BF"/>
    </w:rPr>
    <w:tblPr>
      <w:tblStyleRowBandSize w:val="1"/>
      <w:tblStyleColBandSize w:val="1"/>
      <w:tblInd w:w="0" w:type="dxa"/>
      <w:tblBorders>
        <w:top w:val="single" w:sz="4" w:space="0" w:color="F79646" w:themeColor="accent6"/>
        <w:bottom w:val="single" w:sz="4" w:space="0" w:color="F79646" w:themeColor="accent6"/>
      </w:tblBorders>
      <w:tblCellMar>
        <w:top w:w="0" w:type="dxa"/>
        <w:left w:w="108" w:type="dxa"/>
        <w:bottom w:w="0" w:type="dxa"/>
        <w:right w:w="108" w:type="dxa"/>
      </w:tblCellMar>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99"/>
    <w:rsid w:val="00B2454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99"/>
    <w:rsid w:val="00B24545"/>
    <w:pPr>
      <w:spacing w:after="0" w:line="240" w:lineRule="auto"/>
    </w:pPr>
    <w:rPr>
      <w:color w:val="365F91" w:themeColor="accent1"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99"/>
    <w:rsid w:val="00B24545"/>
    <w:pPr>
      <w:spacing w:after="0" w:line="240" w:lineRule="auto"/>
    </w:pPr>
    <w:rPr>
      <w:color w:val="943634" w:themeColor="accent2"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99"/>
    <w:rsid w:val="00B24545"/>
    <w:pPr>
      <w:spacing w:after="0" w:line="240" w:lineRule="auto"/>
    </w:pPr>
    <w:rPr>
      <w:color w:val="76923C" w:themeColor="accent3"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99"/>
    <w:rsid w:val="00B24545"/>
    <w:pPr>
      <w:spacing w:after="0" w:line="240" w:lineRule="auto"/>
    </w:pPr>
    <w:rPr>
      <w:color w:val="5F497A" w:themeColor="accent4"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99"/>
    <w:rsid w:val="00B24545"/>
    <w:pPr>
      <w:spacing w:after="0" w:line="240" w:lineRule="auto"/>
    </w:pPr>
    <w:rPr>
      <w:color w:val="31849B" w:themeColor="accent5"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99"/>
    <w:rsid w:val="00B24545"/>
    <w:pPr>
      <w:spacing w:after="0" w:line="240" w:lineRule="auto"/>
    </w:pPr>
    <w:rPr>
      <w:color w:val="E36C0A" w:themeColor="accent6"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99"/>
    <w:semiHidden/>
    <w:unhideWhenUsed/>
    <w:rsid w:val="00B24545"/>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99"/>
    <w:semiHidden/>
    <w:unhideWhenUsed/>
    <w:rsid w:val="00B24545"/>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99"/>
    <w:semiHidden/>
    <w:unhideWhenUsed/>
    <w:rsid w:val="00B24545"/>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99"/>
    <w:semiHidden/>
    <w:unhideWhenUsed/>
    <w:rsid w:val="00B24545"/>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99"/>
    <w:semiHidden/>
    <w:unhideWhenUsed/>
    <w:rsid w:val="00B24545"/>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99"/>
    <w:semiHidden/>
    <w:unhideWhenUsed/>
    <w:rsid w:val="00B24545"/>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99"/>
    <w:semiHidden/>
    <w:unhideWhenUsed/>
    <w:rsid w:val="00B24545"/>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B24545"/>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99"/>
    <w:semiHidden/>
    <w:unhideWhenUsed/>
    <w:rsid w:val="00B24545"/>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99"/>
    <w:semiHidden/>
    <w:unhideWhenUsed/>
    <w:rsid w:val="00B2454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99"/>
    <w:semiHidden/>
    <w:unhideWhenUsed/>
    <w:rsid w:val="00B24545"/>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99"/>
    <w:semiHidden/>
    <w:unhideWhenUsed/>
    <w:rsid w:val="00B24545"/>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99"/>
    <w:semiHidden/>
    <w:unhideWhenUsed/>
    <w:rsid w:val="00B24545"/>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99"/>
    <w:semiHidden/>
    <w:unhideWhenUsed/>
    <w:rsid w:val="00B24545"/>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99"/>
    <w:semiHidden/>
    <w:unhideWhenUsed/>
    <w:rsid w:val="00B24545"/>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99"/>
    <w:semiHidden/>
    <w:unhideWhenUsed/>
    <w:rsid w:val="00B24545"/>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99"/>
    <w:semiHidden/>
    <w:unhideWhenUsed/>
    <w:rsid w:val="00B24545"/>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99"/>
    <w:semiHidden/>
    <w:unhideWhenUsed/>
    <w:rsid w:val="00B2454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unhideWhenUsed/>
    <w:rsid w:val="00B24545"/>
    <w:rPr>
      <w:color w:val="2B579A"/>
      <w:shd w:val="clear" w:color="auto" w:fill="E6E6E6"/>
    </w:rPr>
  </w:style>
  <w:style w:type="table" w:customStyle="1" w:styleId="PlainTable11">
    <w:name w:val="Plain Table 11"/>
    <w:basedOn w:val="TableNormal"/>
    <w:uiPriority w:val="99"/>
    <w:rsid w:val="00B24545"/>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99"/>
    <w:rsid w:val="00B2454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99"/>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SmartHyperlink1">
    <w:name w:val="Smart Hyperlink1"/>
    <w:basedOn w:val="DefaultParagraphFont"/>
    <w:uiPriority w:val="99"/>
    <w:semiHidden/>
    <w:unhideWhenUsed/>
    <w:rsid w:val="00B24545"/>
    <w:rPr>
      <w:u w:val="dotted"/>
    </w:rPr>
  </w:style>
  <w:style w:type="table" w:styleId="Table3Deffects1">
    <w:name w:val="Table 3D effects 1"/>
    <w:basedOn w:val="TableNormal"/>
    <w:uiPriority w:val="99"/>
    <w:semiHidden/>
    <w:unhideWhenUsed/>
    <w:rsid w:val="00B24545"/>
    <w:pPr>
      <w:spacing w:after="0" w:line="24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Table3Deffects2">
    <w:name w:val="Table 3D effects 2"/>
    <w:basedOn w:val="TableNormal"/>
    <w:uiPriority w:val="99"/>
    <w:semiHidden/>
    <w:unhideWhenUsed/>
    <w:rsid w:val="00B24545"/>
    <w:pPr>
      <w:spacing w:after="0" w:line="24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3Deffects3">
    <w:name w:val="Table 3D effects 3"/>
    <w:basedOn w:val="TableNormal"/>
    <w:uiPriority w:val="99"/>
    <w:semiHidden/>
    <w:unhideWhenUsed/>
    <w:rsid w:val="00B245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Classic1">
    <w:name w:val="Table Classic 1"/>
    <w:basedOn w:val="TableNormal"/>
    <w:uiPriority w:val="99"/>
    <w:semiHidden/>
    <w:unhideWhenUsed/>
    <w:rsid w:val="00B24545"/>
    <w:pPr>
      <w:spacing w:after="0" w:line="24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iPriority w:val="99"/>
    <w:semiHidden/>
    <w:unhideWhenUsed/>
    <w:rsid w:val="00B24545"/>
    <w:pPr>
      <w:spacing w:after="0" w:line="24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Classic3">
    <w:name w:val="Table Classic 3"/>
    <w:basedOn w:val="TableNormal"/>
    <w:uiPriority w:val="99"/>
    <w:semiHidden/>
    <w:unhideWhenUsed/>
    <w:rsid w:val="00B24545"/>
    <w:pPr>
      <w:spacing w:after="0" w:line="24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Classic4">
    <w:name w:val="Table Classic 4"/>
    <w:basedOn w:val="TableNormal"/>
    <w:uiPriority w:val="99"/>
    <w:semiHidden/>
    <w:unhideWhenUsed/>
    <w:rsid w:val="00B24545"/>
    <w:pPr>
      <w:spacing w:after="0" w:line="24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il"/>
          <w:tr2bl w:val="nil"/>
        </w:tcBorders>
        <w:shd w:val="pct50" w:color="000080" w:fill="FFFFFF"/>
      </w:tcPr>
    </w:tblStylePr>
    <w:tblStylePr w:type="lastRow">
      <w:rPr>
        <w:color w:val="000080"/>
      </w:rPr>
      <w:tblPr/>
      <w:tcPr>
        <w:tcBorders>
          <w:bottom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TableColorful1">
    <w:name w:val="Table Colorful 1"/>
    <w:basedOn w:val="TableNormal"/>
    <w:uiPriority w:val="99"/>
    <w:semiHidden/>
    <w:unhideWhenUsed/>
    <w:rsid w:val="00B24545"/>
    <w:pPr>
      <w:spacing w:after="0" w:line="24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TableColorful2">
    <w:name w:val="Table Colorful 2"/>
    <w:basedOn w:val="TableNormal"/>
    <w:uiPriority w:val="99"/>
    <w:semiHidden/>
    <w:unhideWhenUsed/>
    <w:rsid w:val="00B24545"/>
    <w:pPr>
      <w:spacing w:after="0" w:line="24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TableColorful3">
    <w:name w:val="Table Colorful 3"/>
    <w:basedOn w:val="TableNormal"/>
    <w:uiPriority w:val="99"/>
    <w:semiHidden/>
    <w:unhideWhenUsed/>
    <w:rsid w:val="00B24545"/>
    <w:pPr>
      <w:spacing w:after="0" w:line="24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il"/>
          <w:tr2bl w:val="nil"/>
        </w:tcBorders>
        <w:shd w:val="solid" w:color="008080" w:fill="FFFFFF"/>
      </w:tcPr>
    </w:tblStylePr>
    <w:tblStylePr w:type="firstCol">
      <w:tblPr/>
      <w:tcPr>
        <w:tcBorders>
          <w:left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TableColumns1">
    <w:name w:val="Table Columns 1"/>
    <w:basedOn w:val="TableNormal"/>
    <w:uiPriority w:val="99"/>
    <w:semiHidden/>
    <w:unhideWhenUsed/>
    <w:rsid w:val="00B24545"/>
    <w:pPr>
      <w:spacing w:after="0" w:line="24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Columns2">
    <w:name w:val="Table Columns 2"/>
    <w:basedOn w:val="TableNormal"/>
    <w:uiPriority w:val="99"/>
    <w:semiHidden/>
    <w:unhideWhenUsed/>
    <w:rsid w:val="00B24545"/>
    <w:pPr>
      <w:spacing w:after="0" w:line="24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Columns3">
    <w:name w:val="Table Columns 3"/>
    <w:basedOn w:val="TableNormal"/>
    <w:uiPriority w:val="99"/>
    <w:semiHidden/>
    <w:unhideWhenUsed/>
    <w:rsid w:val="00B24545"/>
    <w:pPr>
      <w:spacing w:after="0" w:line="24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TableColumns4">
    <w:name w:val="Table Columns 4"/>
    <w:basedOn w:val="TableNormal"/>
    <w:uiPriority w:val="99"/>
    <w:semiHidden/>
    <w:unhideWhenUsed/>
    <w:rsid w:val="00B24545"/>
    <w:pPr>
      <w:spacing w:after="0" w:line="240" w:lineRule="auto"/>
    </w:pPr>
    <w:tblPr>
      <w:tblStyleColBandSize w:val="1"/>
      <w:tblInd w:w="0" w:type="dxa"/>
      <w:tblCellMar>
        <w:top w:w="0" w:type="dxa"/>
        <w:left w:w="108" w:type="dxa"/>
        <w:bottom w:w="0" w:type="dxa"/>
        <w:right w:w="108" w:type="dxa"/>
      </w:tblCellMa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B24545"/>
    <w:pPr>
      <w:spacing w:after="0" w:line="24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B24545"/>
    <w:pPr>
      <w:spacing w:after="0" w:line="24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TableElegant">
    <w:name w:val="Table Elegant"/>
    <w:basedOn w:val="TableNormal"/>
    <w:uiPriority w:val="99"/>
    <w:semiHidden/>
    <w:unhideWhenUsed/>
    <w:rsid w:val="00B24545"/>
    <w:pPr>
      <w:spacing w:after="0" w:line="24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39"/>
    <w:rsid w:val="00B245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uiPriority w:val="99"/>
    <w:semiHidden/>
    <w:unhideWhenUsed/>
    <w:rsid w:val="00B24545"/>
    <w:pPr>
      <w:spacing w:after="0" w:line="24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TableGrid2">
    <w:name w:val="Table Grid 2"/>
    <w:basedOn w:val="TableNormal"/>
    <w:uiPriority w:val="99"/>
    <w:semiHidden/>
    <w:unhideWhenUsed/>
    <w:rsid w:val="00B24545"/>
    <w:pPr>
      <w:spacing w:after="0" w:line="24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iPriority w:val="99"/>
    <w:semiHidden/>
    <w:unhideWhenUsed/>
    <w:rsid w:val="00B24545"/>
    <w:pPr>
      <w:spacing w:after="0" w:line="24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styleId="TableGrid4">
    <w:name w:val="Table Grid 4"/>
    <w:basedOn w:val="TableNormal"/>
    <w:uiPriority w:val="99"/>
    <w:semiHidden/>
    <w:unhideWhenUsed/>
    <w:rsid w:val="00B24545"/>
    <w:pPr>
      <w:spacing w:after="0" w:line="24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Grid5">
    <w:name w:val="Table Grid 5"/>
    <w:basedOn w:val="TableNormal"/>
    <w:uiPriority w:val="99"/>
    <w:semiHidden/>
    <w:unhideWhenUsed/>
    <w:rsid w:val="00B24545"/>
    <w:pPr>
      <w:spacing w:after="0" w:line="24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6">
    <w:name w:val="Table Grid 6"/>
    <w:basedOn w:val="TableNormal"/>
    <w:uiPriority w:val="99"/>
    <w:semiHidden/>
    <w:unhideWhenUsed/>
    <w:rsid w:val="00B24545"/>
    <w:pPr>
      <w:spacing w:after="0" w:line="24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7">
    <w:name w:val="Table Grid 7"/>
    <w:basedOn w:val="TableNormal"/>
    <w:uiPriority w:val="99"/>
    <w:semiHidden/>
    <w:unhideWhenUsed/>
    <w:rsid w:val="00B24545"/>
    <w:pPr>
      <w:spacing w:after="0" w:line="24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TableGrid8">
    <w:name w:val="Table Grid 8"/>
    <w:basedOn w:val="TableNormal"/>
    <w:uiPriority w:val="99"/>
    <w:semiHidden/>
    <w:unhideWhenUsed/>
    <w:rsid w:val="00B24545"/>
    <w:pPr>
      <w:spacing w:after="0" w:line="24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Light1">
    <w:name w:val="Table Grid Light1"/>
    <w:basedOn w:val="TableNormal"/>
    <w:uiPriority w:val="99"/>
    <w:rsid w:val="00B24545"/>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TableList1">
    <w:name w:val="Table List 1"/>
    <w:basedOn w:val="TableNormal"/>
    <w:uiPriority w:val="99"/>
    <w:semiHidden/>
    <w:unhideWhenUsed/>
    <w:rsid w:val="00B24545"/>
    <w:pPr>
      <w:spacing w:after="0" w:line="24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2">
    <w:name w:val="Table List 2"/>
    <w:basedOn w:val="TableNormal"/>
    <w:uiPriority w:val="99"/>
    <w:semiHidden/>
    <w:unhideWhenUsed/>
    <w:rsid w:val="00B24545"/>
    <w:pPr>
      <w:spacing w:after="0" w:line="24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3">
    <w:name w:val="Table List 3"/>
    <w:basedOn w:val="TableNormal"/>
    <w:uiPriority w:val="99"/>
    <w:semiHidden/>
    <w:unhideWhenUsed/>
    <w:rsid w:val="00B24545"/>
    <w:pPr>
      <w:spacing w:after="0" w:line="24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TableList4">
    <w:name w:val="Table List 4"/>
    <w:basedOn w:val="TableNormal"/>
    <w:uiPriority w:val="99"/>
    <w:semiHidden/>
    <w:unhideWhenUsed/>
    <w:rsid w:val="00B24545"/>
    <w:pPr>
      <w:spacing w:after="0" w:line="24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TableList5">
    <w:name w:val="Table List 5"/>
    <w:basedOn w:val="TableNormal"/>
    <w:uiPriority w:val="99"/>
    <w:semiHidden/>
    <w:unhideWhenUsed/>
    <w:rsid w:val="00B24545"/>
    <w:pPr>
      <w:spacing w:after="0" w:line="24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TableList6">
    <w:name w:val="Table List 6"/>
    <w:basedOn w:val="TableNormal"/>
    <w:uiPriority w:val="99"/>
    <w:semiHidden/>
    <w:unhideWhenUsed/>
    <w:rsid w:val="00B24545"/>
    <w:pPr>
      <w:spacing w:after="0" w:line="24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style>
  <w:style w:type="table" w:styleId="TableList7">
    <w:name w:val="Table List 7"/>
    <w:basedOn w:val="TableNormal"/>
    <w:uiPriority w:val="99"/>
    <w:semiHidden/>
    <w:unhideWhenUsed/>
    <w:rsid w:val="00B24545"/>
    <w:pPr>
      <w:spacing w:after="0" w:line="24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TableList8">
    <w:name w:val="Table List 8"/>
    <w:basedOn w:val="TableNormal"/>
    <w:uiPriority w:val="99"/>
    <w:semiHidden/>
    <w:unhideWhenUsed/>
    <w:rsid w:val="00B24545"/>
    <w:pPr>
      <w:spacing w:after="0" w:line="24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style>
  <w:style w:type="table" w:styleId="TableProfessional">
    <w:name w:val="Table Professional"/>
    <w:basedOn w:val="TableNormal"/>
    <w:uiPriority w:val="99"/>
    <w:semiHidden/>
    <w:unhideWhenUsed/>
    <w:rsid w:val="00B24545"/>
    <w:pPr>
      <w:spacing w:after="0" w:line="24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styleId="TableSimple1">
    <w:name w:val="Table Simple 1"/>
    <w:basedOn w:val="TableNormal"/>
    <w:uiPriority w:val="99"/>
    <w:semiHidden/>
    <w:unhideWhenUsed/>
    <w:rsid w:val="00B24545"/>
    <w:pPr>
      <w:spacing w:after="0" w:line="24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TableSimple2">
    <w:name w:val="Table Simple 2"/>
    <w:basedOn w:val="TableNormal"/>
    <w:uiPriority w:val="99"/>
    <w:semiHidden/>
    <w:unhideWhenUsed/>
    <w:rsid w:val="00B24545"/>
    <w:pPr>
      <w:spacing w:after="0" w:line="24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imple3">
    <w:name w:val="Table Simple 3"/>
    <w:basedOn w:val="TableNormal"/>
    <w:uiPriority w:val="99"/>
    <w:semiHidden/>
    <w:unhideWhenUsed/>
    <w:rsid w:val="00B24545"/>
    <w:pPr>
      <w:spacing w:after="0" w:line="24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00" w:fill="FFFFFF"/>
      </w:tcPr>
    </w:tblStylePr>
  </w:style>
  <w:style w:type="table" w:styleId="TableSubtle1">
    <w:name w:val="Table Subtle 1"/>
    <w:basedOn w:val="TableNormal"/>
    <w:uiPriority w:val="99"/>
    <w:semiHidden/>
    <w:unhideWhenUsed/>
    <w:rsid w:val="00B24545"/>
    <w:pPr>
      <w:spacing w:after="0" w:line="24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Subtle2">
    <w:name w:val="Table Subtle 2"/>
    <w:basedOn w:val="TableNormal"/>
    <w:uiPriority w:val="99"/>
    <w:semiHidden/>
    <w:unhideWhenUsed/>
    <w:rsid w:val="00B24545"/>
    <w:pPr>
      <w:spacing w:after="0" w:line="24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iPriority w:val="99"/>
    <w:semiHidden/>
    <w:unhideWhenUsed/>
    <w:rsid w:val="00B245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unhideWhenUsed/>
    <w:rsid w:val="00B24545"/>
    <w:pPr>
      <w:spacing w:after="0" w:line="24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TableWeb2">
    <w:name w:val="Table Web 2"/>
    <w:basedOn w:val="TableNormal"/>
    <w:uiPriority w:val="99"/>
    <w:semiHidden/>
    <w:unhideWhenUsed/>
    <w:rsid w:val="00B24545"/>
    <w:pPr>
      <w:spacing w:after="0" w:line="24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TableWeb3">
    <w:name w:val="Table Web 3"/>
    <w:basedOn w:val="TableNormal"/>
    <w:uiPriority w:val="99"/>
    <w:semiHidden/>
    <w:unhideWhenUsed/>
    <w:rsid w:val="00B24545"/>
    <w:pPr>
      <w:spacing w:after="0" w:line="24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paragraph" w:customStyle="1" w:styleId="Default">
    <w:name w:val="Default"/>
    <w:uiPriority w:val="99"/>
    <w:rsid w:val="00CB13C0"/>
    <w:pPr>
      <w:autoSpaceDE w:val="0"/>
      <w:autoSpaceDN w:val="0"/>
      <w:adjustRightInd w:val="0"/>
      <w:spacing w:after="0" w:line="240" w:lineRule="auto"/>
    </w:pPr>
    <w:rPr>
      <w:rFonts w:ascii="Century Gothic" w:hAnsi="Century Gothic" w:cs="Century Gothic"/>
      <w:color w:val="000000"/>
      <w:sz w:val="24"/>
      <w:szCs w:val="24"/>
    </w:rPr>
  </w:style>
  <w:style w:type="character" w:customStyle="1" w:styleId="CaptionChar">
    <w:name w:val="Caption Char"/>
    <w:aliases w:val="GHA Caption Char,GHA Caption Char Char Char,GH Caption Char,GHA Caption Char Char Char Char Char Char Char Char Char Char,GH - Caption Char,CEATI Caption Char,Billedtekst Tegn1 Char,Billedtekst Tegn Tegn Char,TabelOverskri Char"/>
    <w:basedOn w:val="DefaultParagraphFont"/>
    <w:link w:val="Caption"/>
    <w:uiPriority w:val="99"/>
    <w:locked/>
    <w:rsid w:val="00CB13C0"/>
    <w:rPr>
      <w:rFonts w:ascii="Verdana" w:hAnsi="Verdana" w:cs="Verdana"/>
      <w:b/>
      <w:sz w:val="18"/>
      <w:szCs w:val="18"/>
      <w:lang w:val="en-GB"/>
    </w:rPr>
  </w:style>
  <w:style w:type="paragraph" w:customStyle="1" w:styleId="DNVGL-Bullet1">
    <w:name w:val="DNVGL-Bullet1"/>
    <w:basedOn w:val="ListBullet"/>
    <w:uiPriority w:val="1"/>
    <w:qFormat/>
    <w:rsid w:val="009E7E3F"/>
    <w:pPr>
      <w:numPr>
        <w:numId w:val="18"/>
      </w:numPr>
      <w:ind w:left="360"/>
    </w:pPr>
    <w:rPr>
      <w:rFonts w:eastAsiaTheme="minorHAnsi"/>
    </w:rPr>
  </w:style>
  <w:style w:type="paragraph" w:customStyle="1" w:styleId="Subheading4">
    <w:name w:val="Subheading 4"/>
    <w:basedOn w:val="Heading3"/>
    <w:link w:val="Subheading4Char"/>
    <w:uiPriority w:val="1"/>
    <w:qFormat/>
    <w:rsid w:val="009E7E3F"/>
    <w:pPr>
      <w:numPr>
        <w:ilvl w:val="0"/>
        <w:numId w:val="0"/>
      </w:numPr>
      <w:tabs>
        <w:tab w:val="num" w:pos="1674"/>
      </w:tabs>
      <w:spacing w:before="40" w:after="140" w:line="280" w:lineRule="atLeast"/>
      <w:ind w:left="1674" w:hanging="1134"/>
    </w:pPr>
    <w:rPr>
      <w:rFonts w:eastAsiaTheme="minorHAnsi"/>
    </w:rPr>
  </w:style>
  <w:style w:type="character" w:customStyle="1" w:styleId="Subheading4Char">
    <w:name w:val="Subheading 4 Char"/>
    <w:basedOn w:val="DefaultParagraphFont"/>
    <w:link w:val="Subheading4"/>
    <w:uiPriority w:val="1"/>
    <w:rsid w:val="009E7E3F"/>
    <w:rPr>
      <w:rFonts w:ascii="Verdana" w:eastAsiaTheme="minorHAnsi" w:hAnsi="Verdana" w:cs="Verdana"/>
      <w:color w:val="009FDA"/>
      <w:sz w:val="26"/>
      <w:szCs w:val="18"/>
      <w:lang w:val="en-GB"/>
    </w:rPr>
  </w:style>
  <w:style w:type="paragraph" w:styleId="Revision">
    <w:name w:val="Revision"/>
    <w:hidden/>
    <w:uiPriority w:val="99"/>
    <w:semiHidden/>
    <w:rsid w:val="0001596E"/>
    <w:pPr>
      <w:spacing w:after="0" w:line="240" w:lineRule="auto"/>
    </w:pPr>
    <w:rPr>
      <w:rFonts w:ascii="Verdana" w:hAnsi="Verdana" w:cs="Verdana"/>
      <w:sz w:val="18"/>
      <w:szCs w:val="18"/>
      <w:lang w:val="en-GB"/>
    </w:rPr>
  </w:style>
  <w:style w:type="table" w:customStyle="1" w:styleId="DefaultBlueBarTable">
    <w:name w:val="DefaultBlueBarTable"/>
    <w:basedOn w:val="TableNormal"/>
    <w:uiPriority w:val="99"/>
    <w:rsid w:val="00841DFE"/>
    <w:pPr>
      <w:spacing w:after="0" w:line="240" w:lineRule="auto"/>
      <w:jc w:val="center"/>
    </w:pPr>
    <w:rPr>
      <w:rFonts w:ascii="Segoe UI Light" w:eastAsiaTheme="minorHAnsi" w:hAnsi="Segoe UI Light"/>
      <w:color w:val="FFFFFF" w:themeColor="background1"/>
      <w:lang w:eastAsia="en-US"/>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vAlign w:val="center"/>
    </w:tcPr>
    <w:tblStylePr w:type="firstRow">
      <w:pPr>
        <w:jc w:val="center"/>
      </w:pPr>
      <w:rPr>
        <w:rFonts w:ascii="Open Sans Condensed" w:hAnsi="Open Sans Condensed"/>
        <w:color w:val="FFFFFF" w:themeColor="background1"/>
      </w:rPr>
      <w:tblPr/>
      <w:tcPr>
        <w:shd w:val="clear" w:color="auto" w:fill="C0504D" w:themeFill="accent2"/>
        <w:vAlign w:val="center"/>
      </w:tcPr>
    </w:tblStylePr>
    <w:tblStylePr w:type="firstCol">
      <w:pPr>
        <w:jc w:val="left"/>
      </w:pPr>
      <w:rPr>
        <w:rFonts w:ascii="Open Sans Condensed" w:hAnsi="Open Sans Condensed"/>
      </w:rPr>
    </w:tblStylePr>
  </w:style>
  <w:style w:type="character" w:customStyle="1" w:styleId="NoSpacingChar">
    <w:name w:val="No Spacing Char"/>
    <w:basedOn w:val="DefaultParagraphFont"/>
    <w:link w:val="NoSpacing"/>
    <w:uiPriority w:val="1"/>
    <w:rsid w:val="003B5620"/>
    <w:rPr>
      <w:rFonts w:ascii="Verdana" w:hAnsi="Verdana" w:cs="Verdana"/>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477369">
      <w:bodyDiv w:val="1"/>
      <w:marLeft w:val="0"/>
      <w:marRight w:val="0"/>
      <w:marTop w:val="0"/>
      <w:marBottom w:val="0"/>
      <w:divBdr>
        <w:top w:val="none" w:sz="0" w:space="0" w:color="auto"/>
        <w:left w:val="none" w:sz="0" w:space="0" w:color="auto"/>
        <w:bottom w:val="none" w:sz="0" w:space="0" w:color="auto"/>
        <w:right w:val="none" w:sz="0" w:space="0" w:color="auto"/>
      </w:divBdr>
    </w:div>
    <w:div w:id="395979922">
      <w:bodyDiv w:val="1"/>
      <w:marLeft w:val="0"/>
      <w:marRight w:val="0"/>
      <w:marTop w:val="0"/>
      <w:marBottom w:val="0"/>
      <w:divBdr>
        <w:top w:val="none" w:sz="0" w:space="0" w:color="auto"/>
        <w:left w:val="none" w:sz="0" w:space="0" w:color="auto"/>
        <w:bottom w:val="none" w:sz="0" w:space="0" w:color="auto"/>
        <w:right w:val="none" w:sz="0" w:space="0" w:color="auto"/>
      </w:divBdr>
    </w:div>
    <w:div w:id="598375544">
      <w:bodyDiv w:val="1"/>
      <w:marLeft w:val="0"/>
      <w:marRight w:val="0"/>
      <w:marTop w:val="0"/>
      <w:marBottom w:val="0"/>
      <w:divBdr>
        <w:top w:val="none" w:sz="0" w:space="0" w:color="auto"/>
        <w:left w:val="none" w:sz="0" w:space="0" w:color="auto"/>
        <w:bottom w:val="none" w:sz="0" w:space="0" w:color="auto"/>
        <w:right w:val="none" w:sz="0" w:space="0" w:color="auto"/>
      </w:divBdr>
      <w:divsChild>
        <w:div w:id="1997680044">
          <w:marLeft w:val="547"/>
          <w:marRight w:val="0"/>
          <w:marTop w:val="0"/>
          <w:marBottom w:val="0"/>
          <w:divBdr>
            <w:top w:val="none" w:sz="0" w:space="0" w:color="auto"/>
            <w:left w:val="none" w:sz="0" w:space="0" w:color="auto"/>
            <w:bottom w:val="none" w:sz="0" w:space="0" w:color="auto"/>
            <w:right w:val="none" w:sz="0" w:space="0" w:color="auto"/>
          </w:divBdr>
        </w:div>
      </w:divsChild>
    </w:div>
    <w:div w:id="962882644">
      <w:bodyDiv w:val="1"/>
      <w:marLeft w:val="0"/>
      <w:marRight w:val="0"/>
      <w:marTop w:val="0"/>
      <w:marBottom w:val="0"/>
      <w:divBdr>
        <w:top w:val="none" w:sz="0" w:space="0" w:color="auto"/>
        <w:left w:val="none" w:sz="0" w:space="0" w:color="auto"/>
        <w:bottom w:val="none" w:sz="0" w:space="0" w:color="auto"/>
        <w:right w:val="none" w:sz="0" w:space="0" w:color="auto"/>
      </w:divBdr>
      <w:divsChild>
        <w:div w:id="271330342">
          <w:marLeft w:val="547"/>
          <w:marRight w:val="0"/>
          <w:marTop w:val="0"/>
          <w:marBottom w:val="0"/>
          <w:divBdr>
            <w:top w:val="none" w:sz="0" w:space="0" w:color="auto"/>
            <w:left w:val="none" w:sz="0" w:space="0" w:color="auto"/>
            <w:bottom w:val="none" w:sz="0" w:space="0" w:color="auto"/>
            <w:right w:val="none" w:sz="0" w:space="0" w:color="auto"/>
          </w:divBdr>
        </w:div>
      </w:divsChild>
    </w:div>
    <w:div w:id="1072191144">
      <w:bodyDiv w:val="1"/>
      <w:marLeft w:val="0"/>
      <w:marRight w:val="0"/>
      <w:marTop w:val="0"/>
      <w:marBottom w:val="0"/>
      <w:divBdr>
        <w:top w:val="none" w:sz="0" w:space="0" w:color="auto"/>
        <w:left w:val="none" w:sz="0" w:space="0" w:color="auto"/>
        <w:bottom w:val="none" w:sz="0" w:space="0" w:color="auto"/>
        <w:right w:val="none" w:sz="0" w:space="0" w:color="auto"/>
      </w:divBdr>
    </w:div>
    <w:div w:id="1298993895">
      <w:bodyDiv w:val="1"/>
      <w:marLeft w:val="0"/>
      <w:marRight w:val="0"/>
      <w:marTop w:val="0"/>
      <w:marBottom w:val="0"/>
      <w:divBdr>
        <w:top w:val="none" w:sz="0" w:space="0" w:color="auto"/>
        <w:left w:val="none" w:sz="0" w:space="0" w:color="auto"/>
        <w:bottom w:val="none" w:sz="0" w:space="0" w:color="auto"/>
        <w:right w:val="none" w:sz="0" w:space="0" w:color="auto"/>
      </w:divBdr>
      <w:divsChild>
        <w:div w:id="1940916875">
          <w:marLeft w:val="547"/>
          <w:marRight w:val="0"/>
          <w:marTop w:val="0"/>
          <w:marBottom w:val="0"/>
          <w:divBdr>
            <w:top w:val="none" w:sz="0" w:space="0" w:color="auto"/>
            <w:left w:val="none" w:sz="0" w:space="0" w:color="auto"/>
            <w:bottom w:val="none" w:sz="0" w:space="0" w:color="auto"/>
            <w:right w:val="none" w:sz="0" w:space="0" w:color="auto"/>
          </w:divBdr>
        </w:div>
        <w:div w:id="1122580137">
          <w:marLeft w:val="547"/>
          <w:marRight w:val="0"/>
          <w:marTop w:val="0"/>
          <w:marBottom w:val="0"/>
          <w:divBdr>
            <w:top w:val="none" w:sz="0" w:space="0" w:color="auto"/>
            <w:left w:val="none" w:sz="0" w:space="0" w:color="auto"/>
            <w:bottom w:val="none" w:sz="0" w:space="0" w:color="auto"/>
            <w:right w:val="none" w:sz="0" w:space="0" w:color="auto"/>
          </w:divBdr>
        </w:div>
        <w:div w:id="740565473">
          <w:marLeft w:val="547"/>
          <w:marRight w:val="0"/>
          <w:marTop w:val="0"/>
          <w:marBottom w:val="0"/>
          <w:divBdr>
            <w:top w:val="none" w:sz="0" w:space="0" w:color="auto"/>
            <w:left w:val="none" w:sz="0" w:space="0" w:color="auto"/>
            <w:bottom w:val="none" w:sz="0" w:space="0" w:color="auto"/>
            <w:right w:val="none" w:sz="0" w:space="0" w:color="auto"/>
          </w:divBdr>
        </w:div>
      </w:divsChild>
    </w:div>
  </w:divs>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20" Type="http://schemas.openxmlformats.org/officeDocument/2006/relationships/diagramData" Target="diagrams/data1.xml"/><Relationship Id="rId21" Type="http://schemas.openxmlformats.org/officeDocument/2006/relationships/diagramLayout" Target="diagrams/layout1.xml"/><Relationship Id="rId22" Type="http://schemas.openxmlformats.org/officeDocument/2006/relationships/diagramQuickStyle" Target="diagrams/quickStyle1.xml"/><Relationship Id="rId23" Type="http://schemas.openxmlformats.org/officeDocument/2006/relationships/diagramColors" Target="diagrams/colors1.xml"/><Relationship Id="rId24" Type="http://schemas.microsoft.com/office/2007/relationships/diagramDrawing" Target="diagrams/drawing1.xml"/><Relationship Id="rId25" Type="http://schemas.openxmlformats.org/officeDocument/2006/relationships/image" Target="media/image6.png"/><Relationship Id="rId26" Type="http://schemas.openxmlformats.org/officeDocument/2006/relationships/image" Target="media/image7.png"/><Relationship Id="rId27" Type="http://schemas.openxmlformats.org/officeDocument/2006/relationships/image" Target="media/image8.png"/><Relationship Id="rId28" Type="http://schemas.openxmlformats.org/officeDocument/2006/relationships/chart" Target="charts/chart1.xml"/><Relationship Id="rId29" Type="http://schemas.openxmlformats.org/officeDocument/2006/relationships/chart" Target="charts/chart2.xml"/><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customXml" Target="../customXml/item2.xml"/><Relationship Id="rId4" Type="http://schemas.openxmlformats.org/officeDocument/2006/relationships/numbering" Target="numbering.xml"/><Relationship Id="rId5" Type="http://schemas.openxmlformats.org/officeDocument/2006/relationships/styles" Target="styles.xml"/><Relationship Id="rId30" Type="http://schemas.openxmlformats.org/officeDocument/2006/relationships/chart" Target="charts/chart3.xml"/><Relationship Id="rId31" Type="http://schemas.openxmlformats.org/officeDocument/2006/relationships/image" Target="media/image9.png"/><Relationship Id="rId32" Type="http://schemas.openxmlformats.org/officeDocument/2006/relationships/image" Target="media/image10.png"/><Relationship Id="rId9" Type="http://schemas.openxmlformats.org/officeDocument/2006/relationships/endnotes" Target="endnote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33" Type="http://schemas.openxmlformats.org/officeDocument/2006/relationships/image" Target="media/image11.png"/><Relationship Id="rId34" Type="http://schemas.openxmlformats.org/officeDocument/2006/relationships/image" Target="media/image12.png"/><Relationship Id="rId35" Type="http://schemas.openxmlformats.org/officeDocument/2006/relationships/image" Target="cid:image001.png@01D341A3.DEFCF1F0" TargetMode="External"/><Relationship Id="rId36" Type="http://schemas.openxmlformats.org/officeDocument/2006/relationships/image" Target="media/image13.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jpeg"/><Relationship Id="rId15" Type="http://schemas.openxmlformats.org/officeDocument/2006/relationships/image" Target="media/image20.png"/><Relationship Id="rId16" Type="http://schemas.openxmlformats.org/officeDocument/2006/relationships/image" Target="media/image30.png"/><Relationship Id="rId17" Type="http://schemas.openxmlformats.org/officeDocument/2006/relationships/image" Target="media/image40.png"/><Relationship Id="rId18" Type="http://schemas.openxmlformats.org/officeDocument/2006/relationships/image" Target="media/image50.jpeg"/><Relationship Id="rId19" Type="http://schemas.openxmlformats.org/officeDocument/2006/relationships/hyperlink" Target="https://www.dropbox.com/home/USDN%20Funds/innovation%20fund/awards%20by%20type/gr_generalrfp/award%20projects/open/GR40_Renewable%20Heating_Cooling/Deliverables" TargetMode="External"/><Relationship Id="rId37" Type="http://schemas.openxmlformats.org/officeDocument/2006/relationships/image" Target="media/image14.png"/><Relationship Id="rId38" Type="http://schemas.openxmlformats.org/officeDocument/2006/relationships/header" Target="header1.xml"/><Relationship Id="rId39" Type="http://schemas.openxmlformats.org/officeDocument/2006/relationships/header" Target="header2.xml"/><Relationship Id="rId40" Type="http://schemas.openxmlformats.org/officeDocument/2006/relationships/footer" Target="footer1.xml"/><Relationship Id="rId41" Type="http://schemas.openxmlformats.org/officeDocument/2006/relationships/footer" Target="footer2.xml"/><Relationship Id="rId42" Type="http://schemas.openxmlformats.org/officeDocument/2006/relationships/header" Target="header3.xml"/><Relationship Id="rId43" Type="http://schemas.openxmlformats.org/officeDocument/2006/relationships/footer" Target="footer3.xml"/><Relationship Id="rId44" Type="http://schemas.openxmlformats.org/officeDocument/2006/relationships/fontTable" Target="fontTable.xml"/><Relationship Id="rId45"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energydataweb.com/cpu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 Id="rId2"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4" Type="http://schemas.openxmlformats.org/officeDocument/2006/relationships/chartUserShapes" Target="../drawings/drawing1.xml"/><Relationship Id="rId1" Type="http://schemas.microsoft.com/office/2011/relationships/chartStyle" Target="style3.xml"/><Relationship Id="rId2" Type="http://schemas.microsoft.com/office/2011/relationships/chartColorStyle" Target="colors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'Tech Adoption'!$AC$6</c:f>
              <c:strCache>
                <c:ptCount val="1"/>
                <c:pt idx="0">
                  <c:v>Electric Vehicles</c:v>
                </c:pt>
              </c:strCache>
            </c:strRef>
          </c:tx>
          <c:spPr>
            <a:ln w="28575" cap="rnd">
              <a:solidFill>
                <a:schemeClr val="accent1"/>
              </a:solidFill>
              <a:round/>
            </a:ln>
            <a:effectLst/>
          </c:spPr>
          <c:marker>
            <c:symbol val="none"/>
          </c:marker>
          <c:cat>
            <c:numRef>
              <c:f>'Tech Adoption'!$AB$7:$AB$17</c:f>
              <c:numCache>
                <c:formatCode>General</c:formatCode>
                <c:ptCount val="11"/>
                <c:pt idx="0">
                  <c:v>2005.0</c:v>
                </c:pt>
                <c:pt idx="1">
                  <c:v>2006.0</c:v>
                </c:pt>
                <c:pt idx="2">
                  <c:v>2007.0</c:v>
                </c:pt>
                <c:pt idx="3">
                  <c:v>2008.0</c:v>
                </c:pt>
                <c:pt idx="4">
                  <c:v>2009.0</c:v>
                </c:pt>
                <c:pt idx="5">
                  <c:v>2010.0</c:v>
                </c:pt>
                <c:pt idx="6">
                  <c:v>2011.0</c:v>
                </c:pt>
                <c:pt idx="7">
                  <c:v>2012.0</c:v>
                </c:pt>
                <c:pt idx="8">
                  <c:v>2013.0</c:v>
                </c:pt>
                <c:pt idx="9">
                  <c:v>2014.0</c:v>
                </c:pt>
                <c:pt idx="10">
                  <c:v>2015.0</c:v>
                </c:pt>
              </c:numCache>
            </c:numRef>
          </c:cat>
          <c:val>
            <c:numRef>
              <c:f>'Tech Adoption'!$AC$7:$AC$17</c:f>
              <c:numCache>
                <c:formatCode>General</c:formatCode>
                <c:ptCount val="11"/>
                <c:pt idx="4" formatCode="0%">
                  <c:v>0.0833867710536642</c:v>
                </c:pt>
                <c:pt idx="5" formatCode="0%">
                  <c:v>0.251749088368443</c:v>
                </c:pt>
                <c:pt idx="6" formatCode="0%">
                  <c:v>0.46661657877358</c:v>
                </c:pt>
                <c:pt idx="7" formatCode="0%">
                  <c:v>0.585923068824594</c:v>
                </c:pt>
                <c:pt idx="8" formatCode="0%">
                  <c:v>0.555587990390781</c:v>
                </c:pt>
                <c:pt idx="9" formatCode="0%">
                  <c:v>0.759042140826737</c:v>
                </c:pt>
                <c:pt idx="10" formatCode="0%">
                  <c:v>1.0</c:v>
                </c:pt>
              </c:numCache>
            </c:numRef>
          </c:val>
          <c:smooth val="0"/>
          <c:extLst xmlns:c16r2="http://schemas.microsoft.com/office/drawing/2015/06/chart">
            <c:ext xmlns:c16="http://schemas.microsoft.com/office/drawing/2014/chart" uri="{C3380CC4-5D6E-409C-BE32-E72D297353CC}">
              <c16:uniqueId val="{00000000-5C95-4A76-92A7-1DB81898D80C}"/>
            </c:ext>
          </c:extLst>
        </c:ser>
        <c:ser>
          <c:idx val="1"/>
          <c:order val="1"/>
          <c:tx>
            <c:strRef>
              <c:f>'Tech Adoption'!$AD$6</c:f>
              <c:strCache>
                <c:ptCount val="1"/>
                <c:pt idx="0">
                  <c:v>Solar</c:v>
                </c:pt>
              </c:strCache>
            </c:strRef>
          </c:tx>
          <c:spPr>
            <a:ln w="28575" cap="rnd">
              <a:solidFill>
                <a:schemeClr val="accent2"/>
              </a:solidFill>
              <a:round/>
            </a:ln>
            <a:effectLst/>
          </c:spPr>
          <c:marker>
            <c:symbol val="none"/>
          </c:marker>
          <c:cat>
            <c:numRef>
              <c:f>'Tech Adoption'!$AB$7:$AB$17</c:f>
              <c:numCache>
                <c:formatCode>General</c:formatCode>
                <c:ptCount val="11"/>
                <c:pt idx="0">
                  <c:v>2005.0</c:v>
                </c:pt>
                <c:pt idx="1">
                  <c:v>2006.0</c:v>
                </c:pt>
                <c:pt idx="2">
                  <c:v>2007.0</c:v>
                </c:pt>
                <c:pt idx="3">
                  <c:v>2008.0</c:v>
                </c:pt>
                <c:pt idx="4">
                  <c:v>2009.0</c:v>
                </c:pt>
                <c:pt idx="5">
                  <c:v>2010.0</c:v>
                </c:pt>
                <c:pt idx="6">
                  <c:v>2011.0</c:v>
                </c:pt>
                <c:pt idx="7">
                  <c:v>2012.0</c:v>
                </c:pt>
                <c:pt idx="8">
                  <c:v>2013.0</c:v>
                </c:pt>
                <c:pt idx="9">
                  <c:v>2014.0</c:v>
                </c:pt>
                <c:pt idx="10">
                  <c:v>2015.0</c:v>
                </c:pt>
              </c:numCache>
            </c:numRef>
          </c:cat>
          <c:val>
            <c:numRef>
              <c:f>'Tech Adoption'!$AD$7:$AD$17</c:f>
              <c:numCache>
                <c:formatCode>0%</c:formatCode>
                <c:ptCount val="11"/>
                <c:pt idx="0">
                  <c:v>0.00714285714285714</c:v>
                </c:pt>
                <c:pt idx="1">
                  <c:v>0.0142857142857143</c:v>
                </c:pt>
                <c:pt idx="2">
                  <c:v>0.0214285714285714</c:v>
                </c:pt>
                <c:pt idx="3">
                  <c:v>0.0285714285714286</c:v>
                </c:pt>
                <c:pt idx="4">
                  <c:v>0.0642857142857143</c:v>
                </c:pt>
                <c:pt idx="5">
                  <c:v>0.135714285714286</c:v>
                </c:pt>
                <c:pt idx="6">
                  <c:v>0.242857142857143</c:v>
                </c:pt>
                <c:pt idx="7">
                  <c:v>0.342857142857143</c:v>
                </c:pt>
                <c:pt idx="8">
                  <c:v>0.442857142857143</c:v>
                </c:pt>
                <c:pt idx="9">
                  <c:v>0.535714285714286</c:v>
                </c:pt>
                <c:pt idx="10">
                  <c:v>1.0</c:v>
                </c:pt>
              </c:numCache>
            </c:numRef>
          </c:val>
          <c:smooth val="0"/>
          <c:extLst xmlns:c16r2="http://schemas.microsoft.com/office/drawing/2015/06/chart">
            <c:ext xmlns:c16="http://schemas.microsoft.com/office/drawing/2014/chart" uri="{C3380CC4-5D6E-409C-BE32-E72D297353CC}">
              <c16:uniqueId val="{00000001-5C95-4A76-92A7-1DB81898D80C}"/>
            </c:ext>
          </c:extLst>
        </c:ser>
        <c:ser>
          <c:idx val="2"/>
          <c:order val="2"/>
          <c:tx>
            <c:strRef>
              <c:f>'Tech Adoption'!$AE$6</c:f>
              <c:strCache>
                <c:ptCount val="1"/>
                <c:pt idx="0">
                  <c:v>Smartphones</c:v>
                </c:pt>
              </c:strCache>
            </c:strRef>
          </c:tx>
          <c:spPr>
            <a:ln w="28575" cap="rnd">
              <a:solidFill>
                <a:schemeClr val="accent3"/>
              </a:solidFill>
              <a:round/>
            </a:ln>
            <a:effectLst/>
          </c:spPr>
          <c:marker>
            <c:symbol val="none"/>
          </c:marker>
          <c:cat>
            <c:numRef>
              <c:f>'Tech Adoption'!$AB$7:$AB$17</c:f>
              <c:numCache>
                <c:formatCode>General</c:formatCode>
                <c:ptCount val="11"/>
                <c:pt idx="0">
                  <c:v>2005.0</c:v>
                </c:pt>
                <c:pt idx="1">
                  <c:v>2006.0</c:v>
                </c:pt>
                <c:pt idx="2">
                  <c:v>2007.0</c:v>
                </c:pt>
                <c:pt idx="3">
                  <c:v>2008.0</c:v>
                </c:pt>
                <c:pt idx="4">
                  <c:v>2009.0</c:v>
                </c:pt>
                <c:pt idx="5">
                  <c:v>2010.0</c:v>
                </c:pt>
                <c:pt idx="6">
                  <c:v>2011.0</c:v>
                </c:pt>
                <c:pt idx="7">
                  <c:v>2012.0</c:v>
                </c:pt>
                <c:pt idx="8">
                  <c:v>2013.0</c:v>
                </c:pt>
                <c:pt idx="9">
                  <c:v>2014.0</c:v>
                </c:pt>
                <c:pt idx="10">
                  <c:v>2015.0</c:v>
                </c:pt>
              </c:numCache>
            </c:numRef>
          </c:cat>
          <c:val>
            <c:numRef>
              <c:f>'Tech Adoption'!$AE$7:$AE$17</c:f>
              <c:numCache>
                <c:formatCode>0%</c:formatCode>
                <c:ptCount val="11"/>
                <c:pt idx="1">
                  <c:v>0.0815857051144875</c:v>
                </c:pt>
                <c:pt idx="2">
                  <c:v>0.0931481382409587</c:v>
                </c:pt>
                <c:pt idx="3">
                  <c:v>0.115276588915044</c:v>
                </c:pt>
                <c:pt idx="4">
                  <c:v>0.198380323132891</c:v>
                </c:pt>
                <c:pt idx="5">
                  <c:v>0.315643055852771</c:v>
                </c:pt>
                <c:pt idx="6">
                  <c:v>0.454813556601755</c:v>
                </c:pt>
                <c:pt idx="7">
                  <c:v>0.648485983308367</c:v>
                </c:pt>
                <c:pt idx="8">
                  <c:v>0.832401562165632</c:v>
                </c:pt>
                <c:pt idx="9">
                  <c:v>0.952212176332121</c:v>
                </c:pt>
                <c:pt idx="10">
                  <c:v>1.0</c:v>
                </c:pt>
              </c:numCache>
            </c:numRef>
          </c:val>
          <c:smooth val="0"/>
          <c:extLst xmlns:c16r2="http://schemas.microsoft.com/office/drawing/2015/06/chart">
            <c:ext xmlns:c16="http://schemas.microsoft.com/office/drawing/2014/chart" uri="{C3380CC4-5D6E-409C-BE32-E72D297353CC}">
              <c16:uniqueId val="{00000002-5C95-4A76-92A7-1DB81898D80C}"/>
            </c:ext>
          </c:extLst>
        </c:ser>
        <c:ser>
          <c:idx val="3"/>
          <c:order val="3"/>
          <c:tx>
            <c:strRef>
              <c:f>'Tech Adoption'!$AG$6</c:f>
              <c:strCache>
                <c:ptCount val="1"/>
                <c:pt idx="0">
                  <c:v>Average</c:v>
                </c:pt>
              </c:strCache>
            </c:strRef>
          </c:tx>
          <c:spPr>
            <a:ln w="28575" cap="rnd">
              <a:solidFill>
                <a:schemeClr val="accent4"/>
              </a:solidFill>
              <a:round/>
            </a:ln>
            <a:effectLst/>
          </c:spPr>
          <c:marker>
            <c:symbol val="none"/>
          </c:marker>
          <c:cat>
            <c:numRef>
              <c:f>'Tech Adoption'!$AB$7:$AB$17</c:f>
              <c:numCache>
                <c:formatCode>General</c:formatCode>
                <c:ptCount val="11"/>
                <c:pt idx="0">
                  <c:v>2005.0</c:v>
                </c:pt>
                <c:pt idx="1">
                  <c:v>2006.0</c:v>
                </c:pt>
                <c:pt idx="2">
                  <c:v>2007.0</c:v>
                </c:pt>
                <c:pt idx="3">
                  <c:v>2008.0</c:v>
                </c:pt>
                <c:pt idx="4">
                  <c:v>2009.0</c:v>
                </c:pt>
                <c:pt idx="5">
                  <c:v>2010.0</c:v>
                </c:pt>
                <c:pt idx="6">
                  <c:v>2011.0</c:v>
                </c:pt>
                <c:pt idx="7">
                  <c:v>2012.0</c:v>
                </c:pt>
                <c:pt idx="8">
                  <c:v>2013.0</c:v>
                </c:pt>
                <c:pt idx="9">
                  <c:v>2014.0</c:v>
                </c:pt>
                <c:pt idx="10">
                  <c:v>2015.0</c:v>
                </c:pt>
              </c:numCache>
            </c:numRef>
          </c:cat>
          <c:val>
            <c:numRef>
              <c:f>'Tech Adoption'!$AG$7:$AG$17</c:f>
              <c:numCache>
                <c:formatCode>0%</c:formatCode>
                <c:ptCount val="11"/>
                <c:pt idx="0">
                  <c:v>0.00714285714285714</c:v>
                </c:pt>
                <c:pt idx="1">
                  <c:v>0.0479357097001009</c:v>
                </c:pt>
                <c:pt idx="2">
                  <c:v>0.0572883548347651</c:v>
                </c:pt>
                <c:pt idx="3">
                  <c:v>0.0719240087432362</c:v>
                </c:pt>
                <c:pt idx="4">
                  <c:v>0.115350936157423</c:v>
                </c:pt>
                <c:pt idx="5">
                  <c:v>0.2343688099785</c:v>
                </c:pt>
                <c:pt idx="6">
                  <c:v>0.388095759410826</c:v>
                </c:pt>
                <c:pt idx="7">
                  <c:v>0.525755398330035</c:v>
                </c:pt>
                <c:pt idx="8">
                  <c:v>0.610282231804519</c:v>
                </c:pt>
                <c:pt idx="9">
                  <c:v>0.748989534291048</c:v>
                </c:pt>
                <c:pt idx="10">
                  <c:v>1.0</c:v>
                </c:pt>
              </c:numCache>
            </c:numRef>
          </c:val>
          <c:smooth val="0"/>
          <c:extLst xmlns:c16r2="http://schemas.microsoft.com/office/drawing/2015/06/chart">
            <c:ext xmlns:c16="http://schemas.microsoft.com/office/drawing/2014/chart" uri="{C3380CC4-5D6E-409C-BE32-E72D297353CC}">
              <c16:uniqueId val="{00000003-5C95-4A76-92A7-1DB81898D80C}"/>
            </c:ext>
          </c:extLst>
        </c:ser>
        <c:dLbls>
          <c:showLegendKey val="0"/>
          <c:showVal val="0"/>
          <c:showCatName val="0"/>
          <c:showSerName val="0"/>
          <c:showPercent val="0"/>
          <c:showBubbleSize val="0"/>
        </c:dLbls>
        <c:smooth val="0"/>
        <c:axId val="1528866848"/>
        <c:axId val="1528870112"/>
      </c:lineChart>
      <c:catAx>
        <c:axId val="1528866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040000" spcFirstLastPara="1" vertOverflow="ellipsis" wrap="square" anchor="ctr" anchorCtr="1"/>
          <a:lstStyle/>
          <a:p>
            <a:pPr>
              <a:defRPr sz="105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crossAx val="1528870112"/>
        <c:crosses val="autoZero"/>
        <c:auto val="1"/>
        <c:lblAlgn val="ctr"/>
        <c:lblOffset val="100"/>
        <c:noMultiLvlLbl val="0"/>
      </c:catAx>
      <c:valAx>
        <c:axId val="1528870112"/>
        <c:scaling>
          <c:orientation val="minMax"/>
          <c:max val="1.0"/>
          <c:min val="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r>
                  <a:rPr lang="en-US" sz="1050">
                    <a:solidFill>
                      <a:schemeClr val="tx1"/>
                    </a:solidFill>
                    <a:latin typeface="Verdana" panose="020B0604030504040204" pitchFamily="34" charset="0"/>
                    <a:ea typeface="Verdana" panose="020B0604030504040204" pitchFamily="34" charset="0"/>
                    <a:cs typeface="Verdana" panose="020B0604030504040204" pitchFamily="34" charset="0"/>
                  </a:rPr>
                  <a:t>Adoption versus Current Sales</a:t>
                </a:r>
              </a:p>
            </c:rich>
          </c:tx>
          <c:layout>
            <c:manualLayout>
              <c:xMode val="edge"/>
              <c:yMode val="edge"/>
              <c:x val="0.00806858295511851"/>
              <c:y val="0.0759164728677471"/>
            </c:manualLayout>
          </c:layout>
          <c:overlay val="0"/>
          <c:spPr>
            <a:noFill/>
            <a:ln>
              <a:noFill/>
            </a:ln>
            <a:effectLst/>
          </c:spPr>
          <c:txPr>
            <a:bodyPr rot="-5400000" spcFirstLastPara="1" vertOverflow="ellipsis" vert="horz" wrap="square" anchor="ctr" anchorCtr="1"/>
            <a:lstStyle/>
            <a:p>
              <a:pPr>
                <a:defRPr sz="105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crossAx val="1528866848"/>
        <c:crosses val="autoZero"/>
        <c:crossBetween val="between"/>
        <c:majorUnit val="0.25"/>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12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'Tech Adoption'!$Y$6</c:f>
              <c:strCache>
                <c:ptCount val="1"/>
                <c:pt idx="0">
                  <c:v>HPHW Installations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Verdana" panose="020B0604030504040204" pitchFamily="34" charset="0"/>
                    <a:ea typeface="Verdana" panose="020B0604030504040204" pitchFamily="34" charset="0"/>
                    <a:cs typeface="Verdana" panose="020B060403050404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'Tech Adoption'!$X$7:$X$21</c:f>
              <c:numCache>
                <c:formatCode>General</c:formatCode>
                <c:ptCount val="15"/>
                <c:pt idx="0">
                  <c:v>2018.0</c:v>
                </c:pt>
                <c:pt idx="1">
                  <c:v>2019.0</c:v>
                </c:pt>
                <c:pt idx="2">
                  <c:v>2020.0</c:v>
                </c:pt>
                <c:pt idx="3">
                  <c:v>2021.0</c:v>
                </c:pt>
                <c:pt idx="4">
                  <c:v>2022.0</c:v>
                </c:pt>
                <c:pt idx="5">
                  <c:v>2023.0</c:v>
                </c:pt>
                <c:pt idx="6">
                  <c:v>2024.0</c:v>
                </c:pt>
                <c:pt idx="7">
                  <c:v>2025.0</c:v>
                </c:pt>
                <c:pt idx="8">
                  <c:v>2026.0</c:v>
                </c:pt>
                <c:pt idx="9">
                  <c:v>2027.0</c:v>
                </c:pt>
                <c:pt idx="10">
                  <c:v>2028.0</c:v>
                </c:pt>
                <c:pt idx="11">
                  <c:v>2029.0</c:v>
                </c:pt>
                <c:pt idx="12">
                  <c:v>2030.0</c:v>
                </c:pt>
                <c:pt idx="13">
                  <c:v>2031.0</c:v>
                </c:pt>
                <c:pt idx="14">
                  <c:v>2032.0</c:v>
                </c:pt>
              </c:numCache>
            </c:numRef>
          </c:cat>
          <c:val>
            <c:numRef>
              <c:f>'Tech Adoption'!$Y$7:$Y$21</c:f>
              <c:numCache>
                <c:formatCode>#,##0</c:formatCode>
                <c:ptCount val="15"/>
                <c:pt idx="0">
                  <c:v>121.3872074064775</c:v>
                </c:pt>
                <c:pt idx="1">
                  <c:v>253.3197554486286</c:v>
                </c:pt>
                <c:pt idx="2">
                  <c:v>425.502711874721</c:v>
                </c:pt>
                <c:pt idx="3">
                  <c:v>573.2935150916916</c:v>
                </c:pt>
                <c:pt idx="4">
                  <c:v>659.788787309275</c:v>
                </c:pt>
                <c:pt idx="5">
                  <c:v>951.8067234444964</c:v>
                </c:pt>
                <c:pt idx="6">
                  <c:v>1333.901262113662</c:v>
                </c:pt>
                <c:pt idx="7">
                  <c:v>1243.306184043594</c:v>
                </c:pt>
                <c:pt idx="8">
                  <c:v>1475.843832770322</c:v>
                </c:pt>
                <c:pt idx="9">
                  <c:v>1624.632142857143</c:v>
                </c:pt>
                <c:pt idx="10">
                  <c:v>2115.8</c:v>
                </c:pt>
                <c:pt idx="11">
                  <c:v>2115.8</c:v>
                </c:pt>
                <c:pt idx="12">
                  <c:v>2115.8</c:v>
                </c:pt>
                <c:pt idx="13">
                  <c:v>2115.8</c:v>
                </c:pt>
                <c:pt idx="14">
                  <c:v>2115.8</c:v>
                </c:pt>
              </c:numCache>
            </c:numRef>
          </c:val>
          <c:extLst xmlns:c16r2="http://schemas.microsoft.com/office/drawing/2015/06/chart">
            <c:ext xmlns:c16="http://schemas.microsoft.com/office/drawing/2014/chart" uri="{C3380CC4-5D6E-409C-BE32-E72D297353CC}">
              <c16:uniqueId val="{00000000-7C49-4330-8579-2675109C7452}"/>
            </c:ext>
          </c:extLst>
        </c:ser>
        <c:ser>
          <c:idx val="1"/>
          <c:order val="1"/>
          <c:tx>
            <c:strRef>
              <c:f>'Tech Adoption'!$Z$6</c:f>
              <c:strCache>
                <c:ptCount val="1"/>
                <c:pt idx="0">
                  <c:v>ASHP Installations</c:v>
                </c:pt>
              </c:strCache>
            </c:strRef>
          </c:tx>
          <c:spPr>
            <a:solidFill>
              <a:schemeClr val="accent2"/>
            </a:solidFill>
            <a:ln>
              <a:noFill/>
            </a:ln>
            <a:effectLst/>
          </c:spPr>
          <c:invertIfNegative val="0"/>
          <c:dLbls>
            <c:dLbl>
              <c:idx val="10"/>
              <c:layout>
                <c:manualLayout>
                  <c:x val="0.00403429147755925"/>
                  <c:y val="0.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49-4330-8579-2675109C7452}"/>
                </c:ext>
                <c:ext xmlns:c15="http://schemas.microsoft.com/office/drawing/2012/chart" uri="{CE6537A1-D6FC-4f65-9D91-7224C49458BB}"/>
              </c:extLst>
            </c:dLbl>
            <c:dLbl>
              <c:idx val="11"/>
              <c:layout>
                <c:manualLayout>
                  <c:x val="0.00403429147755911"/>
                  <c:y val="0.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C49-4330-8579-2675109C7452}"/>
                </c:ext>
                <c:ext xmlns:c15="http://schemas.microsoft.com/office/drawing/2012/chart" uri="{CE6537A1-D6FC-4f65-9D91-7224C49458BB}"/>
              </c:extLst>
            </c:dLbl>
            <c:dLbl>
              <c:idx val="12"/>
              <c:layout>
                <c:manualLayout>
                  <c:x val="0.00605143721633888"/>
                  <c:y val="0.0072411296162201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C49-4330-8579-2675109C7452}"/>
                </c:ext>
                <c:ext xmlns:c15="http://schemas.microsoft.com/office/drawing/2012/chart" uri="{CE6537A1-D6FC-4f65-9D91-7224C49458BB}"/>
              </c:extLst>
            </c:dLbl>
            <c:dLbl>
              <c:idx val="13"/>
              <c:layout>
                <c:manualLayout>
                  <c:x val="0.00806858295511851"/>
                  <c:y val="0.014482259232440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C49-4330-8579-2675109C7452}"/>
                </c:ext>
                <c:ext xmlns:c15="http://schemas.microsoft.com/office/drawing/2012/chart" uri="{CE6537A1-D6FC-4f65-9D91-7224C49458BB}"/>
              </c:extLst>
            </c:dLbl>
            <c:dLbl>
              <c:idx val="14"/>
              <c:layout>
                <c:manualLayout>
                  <c:x val="0.00806858295511836"/>
                  <c:y val="0.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C49-4330-8579-2675109C745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Verdana" panose="020B0604030504040204" pitchFamily="34" charset="0"/>
                    <a:ea typeface="Verdana" panose="020B0604030504040204" pitchFamily="34" charset="0"/>
                    <a:cs typeface="Verdana" panose="020B060403050404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'Tech Adoption'!$X$7:$X$21</c:f>
              <c:numCache>
                <c:formatCode>General</c:formatCode>
                <c:ptCount val="15"/>
                <c:pt idx="0">
                  <c:v>2018.0</c:v>
                </c:pt>
                <c:pt idx="1">
                  <c:v>2019.0</c:v>
                </c:pt>
                <c:pt idx="2">
                  <c:v>2020.0</c:v>
                </c:pt>
                <c:pt idx="3">
                  <c:v>2021.0</c:v>
                </c:pt>
                <c:pt idx="4">
                  <c:v>2022.0</c:v>
                </c:pt>
                <c:pt idx="5">
                  <c:v>2023.0</c:v>
                </c:pt>
                <c:pt idx="6">
                  <c:v>2024.0</c:v>
                </c:pt>
                <c:pt idx="7">
                  <c:v>2025.0</c:v>
                </c:pt>
                <c:pt idx="8">
                  <c:v>2026.0</c:v>
                </c:pt>
                <c:pt idx="9">
                  <c:v>2027.0</c:v>
                </c:pt>
                <c:pt idx="10">
                  <c:v>2028.0</c:v>
                </c:pt>
                <c:pt idx="11">
                  <c:v>2029.0</c:v>
                </c:pt>
                <c:pt idx="12">
                  <c:v>2030.0</c:v>
                </c:pt>
                <c:pt idx="13">
                  <c:v>2031.0</c:v>
                </c:pt>
                <c:pt idx="14">
                  <c:v>2032.0</c:v>
                </c:pt>
              </c:numCache>
            </c:numRef>
          </c:cat>
          <c:val>
            <c:numRef>
              <c:f>'Tech Adoption'!$Z$7:$Z$21</c:f>
              <c:numCache>
                <c:formatCode>#,##0</c:formatCode>
                <c:ptCount val="15"/>
                <c:pt idx="0">
                  <c:v>60.69360370323876</c:v>
                </c:pt>
                <c:pt idx="1">
                  <c:v>126.6598777243143</c:v>
                </c:pt>
                <c:pt idx="2">
                  <c:v>212.7513559373604</c:v>
                </c:pt>
                <c:pt idx="3">
                  <c:v>286.6467575458457</c:v>
                </c:pt>
                <c:pt idx="4">
                  <c:v>329.8943936546372</c:v>
                </c:pt>
                <c:pt idx="5">
                  <c:v>475.9033617222482</c:v>
                </c:pt>
                <c:pt idx="6">
                  <c:v>666.9506310568311</c:v>
                </c:pt>
                <c:pt idx="7">
                  <c:v>621.653092021797</c:v>
                </c:pt>
                <c:pt idx="8">
                  <c:v>737.9219163851606</c:v>
                </c:pt>
                <c:pt idx="9">
                  <c:v>812.3160714285714</c:v>
                </c:pt>
                <c:pt idx="10">
                  <c:v>1057.9</c:v>
                </c:pt>
                <c:pt idx="11">
                  <c:v>1057.9</c:v>
                </c:pt>
                <c:pt idx="12">
                  <c:v>1057.9</c:v>
                </c:pt>
                <c:pt idx="13">
                  <c:v>1057.9</c:v>
                </c:pt>
                <c:pt idx="14">
                  <c:v>1057.9</c:v>
                </c:pt>
              </c:numCache>
            </c:numRef>
          </c:val>
          <c:extLst xmlns:c16r2="http://schemas.microsoft.com/office/drawing/2015/06/chart">
            <c:ext xmlns:c16="http://schemas.microsoft.com/office/drawing/2014/chart" uri="{C3380CC4-5D6E-409C-BE32-E72D297353CC}">
              <c16:uniqueId val="{00000006-7C49-4330-8579-2675109C7452}"/>
            </c:ext>
          </c:extLst>
        </c:ser>
        <c:dLbls>
          <c:showLegendKey val="0"/>
          <c:showVal val="0"/>
          <c:showCatName val="0"/>
          <c:showSerName val="0"/>
          <c:showPercent val="0"/>
          <c:showBubbleSize val="0"/>
        </c:dLbls>
        <c:gapWidth val="87"/>
        <c:overlap val="-27"/>
        <c:axId val="1528905296"/>
        <c:axId val="1528908048"/>
      </c:barChart>
      <c:catAx>
        <c:axId val="1528905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crossAx val="1528908048"/>
        <c:crosses val="autoZero"/>
        <c:auto val="1"/>
        <c:lblAlgn val="ctr"/>
        <c:lblOffset val="100"/>
        <c:noMultiLvlLbl val="0"/>
      </c:catAx>
      <c:valAx>
        <c:axId val="1528908048"/>
        <c:scaling>
          <c:orientation val="minMax"/>
        </c:scaling>
        <c:delete val="1"/>
        <c:axPos val="l"/>
        <c:numFmt formatCode="#,##0" sourceLinked="1"/>
        <c:majorTickMark val="none"/>
        <c:minorTickMark val="none"/>
        <c:tickLblPos val="nextTo"/>
        <c:crossAx val="1528905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Verdana" panose="020B0604030504040204" pitchFamily="34" charset="0"/>
              <a:ea typeface="Verdana" panose="020B0604030504040204" pitchFamily="34" charset="0"/>
              <a:cs typeface="Verdana" panose="020B060403050404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'Emissions Reduction'!$G$4</c:f>
              <c:strCache>
                <c:ptCount val="1"/>
                <c:pt idx="0">
                  <c:v>Residential Space Heating Emissions</c:v>
                </c:pt>
              </c:strCache>
            </c:strRef>
          </c:tx>
          <c:spPr>
            <a:solidFill>
              <a:schemeClr val="accent1"/>
            </a:solidFill>
            <a:ln>
              <a:noFill/>
            </a:ln>
            <a:effectLst/>
          </c:spPr>
          <c:invertIfNegative val="0"/>
          <c:cat>
            <c:numRef>
              <c:f>'Emissions Reduction'!$B$5:$B$38</c:f>
              <c:numCache>
                <c:formatCode>General</c:formatCode>
                <c:ptCount val="34"/>
                <c:pt idx="0">
                  <c:v>2017.0</c:v>
                </c:pt>
                <c:pt idx="1">
                  <c:v>2018.0</c:v>
                </c:pt>
                <c:pt idx="2">
                  <c:v>2019.0</c:v>
                </c:pt>
                <c:pt idx="3">
                  <c:v>2020.0</c:v>
                </c:pt>
                <c:pt idx="4">
                  <c:v>2021.0</c:v>
                </c:pt>
                <c:pt idx="5">
                  <c:v>2022.0</c:v>
                </c:pt>
                <c:pt idx="6">
                  <c:v>2023.0</c:v>
                </c:pt>
                <c:pt idx="7">
                  <c:v>2024.0</c:v>
                </c:pt>
                <c:pt idx="8">
                  <c:v>2025.0</c:v>
                </c:pt>
                <c:pt idx="9">
                  <c:v>2026.0</c:v>
                </c:pt>
                <c:pt idx="10">
                  <c:v>2027.0</c:v>
                </c:pt>
                <c:pt idx="11">
                  <c:v>2028.0</c:v>
                </c:pt>
                <c:pt idx="12">
                  <c:v>2029.0</c:v>
                </c:pt>
                <c:pt idx="13">
                  <c:v>2030.0</c:v>
                </c:pt>
                <c:pt idx="14">
                  <c:v>2031.0</c:v>
                </c:pt>
                <c:pt idx="15">
                  <c:v>2032.0</c:v>
                </c:pt>
                <c:pt idx="16">
                  <c:v>2033.0</c:v>
                </c:pt>
                <c:pt idx="17">
                  <c:v>2034.0</c:v>
                </c:pt>
                <c:pt idx="18">
                  <c:v>2035.0</c:v>
                </c:pt>
                <c:pt idx="19">
                  <c:v>2036.0</c:v>
                </c:pt>
                <c:pt idx="20">
                  <c:v>2037.0</c:v>
                </c:pt>
                <c:pt idx="21">
                  <c:v>2038.0</c:v>
                </c:pt>
                <c:pt idx="22">
                  <c:v>2039.0</c:v>
                </c:pt>
                <c:pt idx="23">
                  <c:v>2040.0</c:v>
                </c:pt>
                <c:pt idx="24">
                  <c:v>2041.0</c:v>
                </c:pt>
                <c:pt idx="25">
                  <c:v>2042.0</c:v>
                </c:pt>
                <c:pt idx="26">
                  <c:v>2043.0</c:v>
                </c:pt>
                <c:pt idx="27">
                  <c:v>2044.0</c:v>
                </c:pt>
                <c:pt idx="28">
                  <c:v>2045.0</c:v>
                </c:pt>
                <c:pt idx="29">
                  <c:v>2046.0</c:v>
                </c:pt>
                <c:pt idx="30">
                  <c:v>2047.0</c:v>
                </c:pt>
                <c:pt idx="31">
                  <c:v>2048.0</c:v>
                </c:pt>
                <c:pt idx="32">
                  <c:v>2049.0</c:v>
                </c:pt>
                <c:pt idx="33">
                  <c:v>2050.0</c:v>
                </c:pt>
              </c:numCache>
            </c:numRef>
          </c:cat>
          <c:val>
            <c:numRef>
              <c:f>'Emissions Reduction'!$G$5:$G$38</c:f>
              <c:numCache>
                <c:formatCode>#,##0</c:formatCode>
                <c:ptCount val="34"/>
                <c:pt idx="0">
                  <c:v>92317.227105312</c:v>
                </c:pt>
                <c:pt idx="1">
                  <c:v>92138.24334313454</c:v>
                </c:pt>
                <c:pt idx="2">
                  <c:v>91764.72685953826</c:v>
                </c:pt>
                <c:pt idx="3">
                  <c:v>91137.32898281641</c:v>
                </c:pt>
                <c:pt idx="4">
                  <c:v>90292.0156062642</c:v>
                </c:pt>
                <c:pt idx="5">
                  <c:v>89319.16614446195</c:v>
                </c:pt>
                <c:pt idx="6">
                  <c:v>87915.74026567573</c:v>
                </c:pt>
                <c:pt idx="7">
                  <c:v>85948.92126252661</c:v>
                </c:pt>
                <c:pt idx="8">
                  <c:v>84115.68345177967</c:v>
                </c:pt>
                <c:pt idx="9">
                  <c:v>81939.57208700471</c:v>
                </c:pt>
                <c:pt idx="10">
                  <c:v>79544.0744122855</c:v>
                </c:pt>
                <c:pt idx="11">
                  <c:v>76424.35651032544</c:v>
                </c:pt>
                <c:pt idx="12">
                  <c:v>73304.63860836546</c:v>
                </c:pt>
                <c:pt idx="13">
                  <c:v>70184.92070640543</c:v>
                </c:pt>
                <c:pt idx="14">
                  <c:v>67065.20280444541</c:v>
                </c:pt>
                <c:pt idx="15">
                  <c:v>63945.48490248545</c:v>
                </c:pt>
                <c:pt idx="16">
                  <c:v>60825.76700052539</c:v>
                </c:pt>
                <c:pt idx="17">
                  <c:v>57706.04909856543</c:v>
                </c:pt>
                <c:pt idx="18">
                  <c:v>54586.3311966054</c:v>
                </c:pt>
                <c:pt idx="19">
                  <c:v>51466.61329464543</c:v>
                </c:pt>
                <c:pt idx="20">
                  <c:v>48346.89539268542</c:v>
                </c:pt>
                <c:pt idx="21">
                  <c:v>45227.17749072537</c:v>
                </c:pt>
                <c:pt idx="22">
                  <c:v>42107.45958876542</c:v>
                </c:pt>
                <c:pt idx="23">
                  <c:v>38987.74168680537</c:v>
                </c:pt>
                <c:pt idx="24">
                  <c:v>35868.02378484538</c:v>
                </c:pt>
                <c:pt idx="25">
                  <c:v>32748.30588288542</c:v>
                </c:pt>
                <c:pt idx="26">
                  <c:v>29628.58798092543</c:v>
                </c:pt>
                <c:pt idx="27">
                  <c:v>26508.87007896541</c:v>
                </c:pt>
                <c:pt idx="28">
                  <c:v>23389.15217700541</c:v>
                </c:pt>
                <c:pt idx="29">
                  <c:v>20269.43427504542</c:v>
                </c:pt>
                <c:pt idx="30">
                  <c:v>17149.71637308542</c:v>
                </c:pt>
                <c:pt idx="31">
                  <c:v>14029.99847112543</c:v>
                </c:pt>
                <c:pt idx="32">
                  <c:v>10910.28056916543</c:v>
                </c:pt>
                <c:pt idx="33">
                  <c:v>7790.562667205425</c:v>
                </c:pt>
              </c:numCache>
            </c:numRef>
          </c:val>
          <c:extLst xmlns:c16r2="http://schemas.microsoft.com/office/drawing/2015/06/chart">
            <c:ext xmlns:c16="http://schemas.microsoft.com/office/drawing/2014/chart" uri="{C3380CC4-5D6E-409C-BE32-E72D297353CC}">
              <c16:uniqueId val="{00000000-68D4-4AB4-871D-A52A614D80CC}"/>
            </c:ext>
          </c:extLst>
        </c:ser>
        <c:ser>
          <c:idx val="1"/>
          <c:order val="1"/>
          <c:tx>
            <c:strRef>
              <c:f>'Emissions Reduction'!$H$4</c:f>
              <c:strCache>
                <c:ptCount val="1"/>
                <c:pt idx="0">
                  <c:v>Residential Water Heating Emissions</c:v>
                </c:pt>
              </c:strCache>
            </c:strRef>
          </c:tx>
          <c:spPr>
            <a:solidFill>
              <a:schemeClr val="accent2"/>
            </a:solidFill>
            <a:ln>
              <a:noFill/>
            </a:ln>
            <a:effectLst/>
          </c:spPr>
          <c:invertIfNegative val="0"/>
          <c:cat>
            <c:numRef>
              <c:f>'Emissions Reduction'!$B$5:$B$38</c:f>
              <c:numCache>
                <c:formatCode>General</c:formatCode>
                <c:ptCount val="34"/>
                <c:pt idx="0">
                  <c:v>2017.0</c:v>
                </c:pt>
                <c:pt idx="1">
                  <c:v>2018.0</c:v>
                </c:pt>
                <c:pt idx="2">
                  <c:v>2019.0</c:v>
                </c:pt>
                <c:pt idx="3">
                  <c:v>2020.0</c:v>
                </c:pt>
                <c:pt idx="4">
                  <c:v>2021.0</c:v>
                </c:pt>
                <c:pt idx="5">
                  <c:v>2022.0</c:v>
                </c:pt>
                <c:pt idx="6">
                  <c:v>2023.0</c:v>
                </c:pt>
                <c:pt idx="7">
                  <c:v>2024.0</c:v>
                </c:pt>
                <c:pt idx="8">
                  <c:v>2025.0</c:v>
                </c:pt>
                <c:pt idx="9">
                  <c:v>2026.0</c:v>
                </c:pt>
                <c:pt idx="10">
                  <c:v>2027.0</c:v>
                </c:pt>
                <c:pt idx="11">
                  <c:v>2028.0</c:v>
                </c:pt>
                <c:pt idx="12">
                  <c:v>2029.0</c:v>
                </c:pt>
                <c:pt idx="13">
                  <c:v>2030.0</c:v>
                </c:pt>
                <c:pt idx="14">
                  <c:v>2031.0</c:v>
                </c:pt>
                <c:pt idx="15">
                  <c:v>2032.0</c:v>
                </c:pt>
                <c:pt idx="16">
                  <c:v>2033.0</c:v>
                </c:pt>
                <c:pt idx="17">
                  <c:v>2034.0</c:v>
                </c:pt>
                <c:pt idx="18">
                  <c:v>2035.0</c:v>
                </c:pt>
                <c:pt idx="19">
                  <c:v>2036.0</c:v>
                </c:pt>
                <c:pt idx="20">
                  <c:v>2037.0</c:v>
                </c:pt>
                <c:pt idx="21">
                  <c:v>2038.0</c:v>
                </c:pt>
                <c:pt idx="22">
                  <c:v>2039.0</c:v>
                </c:pt>
                <c:pt idx="23">
                  <c:v>2040.0</c:v>
                </c:pt>
                <c:pt idx="24">
                  <c:v>2041.0</c:v>
                </c:pt>
                <c:pt idx="25">
                  <c:v>2042.0</c:v>
                </c:pt>
                <c:pt idx="26">
                  <c:v>2043.0</c:v>
                </c:pt>
                <c:pt idx="27">
                  <c:v>2044.0</c:v>
                </c:pt>
                <c:pt idx="28">
                  <c:v>2045.0</c:v>
                </c:pt>
                <c:pt idx="29">
                  <c:v>2046.0</c:v>
                </c:pt>
                <c:pt idx="30">
                  <c:v>2047.0</c:v>
                </c:pt>
                <c:pt idx="31">
                  <c:v>2048.0</c:v>
                </c:pt>
                <c:pt idx="32">
                  <c:v>2049.0</c:v>
                </c:pt>
                <c:pt idx="33">
                  <c:v>2050.0</c:v>
                </c:pt>
              </c:numCache>
            </c:numRef>
          </c:cat>
          <c:val>
            <c:numRef>
              <c:f>'Emissions Reduction'!$H$5:$H$38</c:f>
              <c:numCache>
                <c:formatCode>#,##0</c:formatCode>
                <c:ptCount val="34"/>
                <c:pt idx="0">
                  <c:v>45113.8712706</c:v>
                </c:pt>
                <c:pt idx="1">
                  <c:v>44987.91973425295</c:v>
                </c:pt>
                <c:pt idx="2">
                  <c:v>44725.0748013518</c:v>
                </c:pt>
                <c:pt idx="3">
                  <c:v>44283.5725918068</c:v>
                </c:pt>
                <c:pt idx="4">
                  <c:v>43688.72243793673</c:v>
                </c:pt>
                <c:pt idx="5">
                  <c:v>43004.12466852032</c:v>
                </c:pt>
                <c:pt idx="6">
                  <c:v>42016.5286797449</c:v>
                </c:pt>
                <c:pt idx="7">
                  <c:v>40632.47086271398</c:v>
                </c:pt>
                <c:pt idx="8">
                  <c:v>39342.41462552171</c:v>
                </c:pt>
                <c:pt idx="9">
                  <c:v>37811.07699845786</c:v>
                </c:pt>
                <c:pt idx="10">
                  <c:v>36125.3564125443</c:v>
                </c:pt>
                <c:pt idx="11">
                  <c:v>33929.99937042429</c:v>
                </c:pt>
                <c:pt idx="12">
                  <c:v>31734.64232830429</c:v>
                </c:pt>
                <c:pt idx="13">
                  <c:v>29539.2852861843</c:v>
                </c:pt>
                <c:pt idx="14">
                  <c:v>27343.9282440643</c:v>
                </c:pt>
                <c:pt idx="15">
                  <c:v>25148.5712019443</c:v>
                </c:pt>
                <c:pt idx="16">
                  <c:v>22953.2141598243</c:v>
                </c:pt>
                <c:pt idx="17">
                  <c:v>20757.8571177043</c:v>
                </c:pt>
                <c:pt idx="18">
                  <c:v>18562.5000755843</c:v>
                </c:pt>
                <c:pt idx="19">
                  <c:v>16367.14303346429</c:v>
                </c:pt>
                <c:pt idx="20">
                  <c:v>14171.78599134429</c:v>
                </c:pt>
                <c:pt idx="21">
                  <c:v>11976.4289492243</c:v>
                </c:pt>
                <c:pt idx="22">
                  <c:v>9781.071907104295</c:v>
                </c:pt>
                <c:pt idx="23">
                  <c:v>7585.714864984298</c:v>
                </c:pt>
                <c:pt idx="24">
                  <c:v>5390.357822864297</c:v>
                </c:pt>
                <c:pt idx="25">
                  <c:v>3195.000780744297</c:v>
                </c:pt>
                <c:pt idx="26">
                  <c:v>999.643738624297</c:v>
                </c:pt>
                <c:pt idx="27">
                  <c:v>0.0</c:v>
                </c:pt>
                <c:pt idx="28">
                  <c:v>0.0</c:v>
                </c:pt>
                <c:pt idx="29">
                  <c:v>0.0</c:v>
                </c:pt>
                <c:pt idx="30">
                  <c:v>0.0</c:v>
                </c:pt>
                <c:pt idx="31">
                  <c:v>0.0</c:v>
                </c:pt>
                <c:pt idx="32">
                  <c:v>0.0</c:v>
                </c:pt>
                <c:pt idx="33">
                  <c:v>0.0</c:v>
                </c:pt>
              </c:numCache>
            </c:numRef>
          </c:val>
          <c:extLst xmlns:c16r2="http://schemas.microsoft.com/office/drawing/2015/06/chart">
            <c:ext xmlns:c16="http://schemas.microsoft.com/office/drawing/2014/chart" uri="{C3380CC4-5D6E-409C-BE32-E72D297353CC}">
              <c16:uniqueId val="{00000001-68D4-4AB4-871D-A52A614D80CC}"/>
            </c:ext>
          </c:extLst>
        </c:ser>
        <c:dLbls>
          <c:showLegendKey val="0"/>
          <c:showVal val="0"/>
          <c:showCatName val="0"/>
          <c:showSerName val="0"/>
          <c:showPercent val="0"/>
          <c:showBubbleSize val="0"/>
        </c:dLbls>
        <c:gapWidth val="50"/>
        <c:overlap val="100"/>
        <c:axId val="1526904512"/>
        <c:axId val="1526907264"/>
      </c:barChart>
      <c:catAx>
        <c:axId val="1526904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crossAx val="1526907264"/>
        <c:crosses val="autoZero"/>
        <c:auto val="1"/>
        <c:lblAlgn val="ctr"/>
        <c:lblOffset val="100"/>
        <c:noMultiLvlLbl val="0"/>
      </c:catAx>
      <c:valAx>
        <c:axId val="1526907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r>
                  <a:rPr lang="en-US" sz="900">
                    <a:solidFill>
                      <a:schemeClr val="tx1"/>
                    </a:solidFill>
                    <a:latin typeface="Verdana" panose="020B0604030504040204" pitchFamily="34" charset="0"/>
                    <a:ea typeface="Verdana" panose="020B0604030504040204" pitchFamily="34" charset="0"/>
                    <a:cs typeface="Verdana" panose="020B0604030504040204" pitchFamily="34" charset="0"/>
                  </a:rPr>
                  <a:t>Annual</a:t>
                </a:r>
                <a:r>
                  <a:rPr lang="en-US" sz="900" baseline="0">
                    <a:solidFill>
                      <a:schemeClr val="tx1"/>
                    </a:solidFill>
                    <a:latin typeface="Verdana" panose="020B0604030504040204" pitchFamily="34" charset="0"/>
                    <a:ea typeface="Verdana" panose="020B0604030504040204" pitchFamily="34" charset="0"/>
                    <a:cs typeface="Verdana" panose="020B0604030504040204" pitchFamily="34" charset="0"/>
                  </a:rPr>
                  <a:t> </a:t>
                </a:r>
                <a:r>
                  <a:rPr lang="en-US" sz="900">
                    <a:solidFill>
                      <a:schemeClr val="tx1"/>
                    </a:solidFill>
                    <a:latin typeface="Verdana" panose="020B0604030504040204" pitchFamily="34" charset="0"/>
                    <a:ea typeface="Verdana" panose="020B0604030504040204" pitchFamily="34" charset="0"/>
                    <a:cs typeface="Verdana" panose="020B0604030504040204" pitchFamily="34" charset="0"/>
                  </a:rPr>
                  <a:t>MT CO2e Emissions</a:t>
                </a:r>
              </a:p>
            </c:rich>
          </c:tx>
          <c:layout>
            <c:manualLayout>
              <c:xMode val="edge"/>
              <c:yMode val="edge"/>
              <c:x val="0.0121028744326778"/>
              <c:y val="0.08441193021947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crossAx val="1526904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Verdana" panose="020B0604030504040204" pitchFamily="34" charset="0"/>
              <a:ea typeface="Verdana" panose="020B0604030504040204" pitchFamily="34" charset="0"/>
              <a:cs typeface="Verdana" panose="020B060403050404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EF86AE0-2AF4-40CA-AE71-8E191C0A5658}" type="doc">
      <dgm:prSet loTypeId="urn:microsoft.com/office/officeart/2005/8/layout/process1" loCatId="process" qsTypeId="urn:microsoft.com/office/officeart/2005/8/quickstyle/simple1" qsCatId="simple" csTypeId="urn:microsoft.com/office/officeart/2005/8/colors/accent1_2" csCatId="accent1" phldr="1"/>
      <dgm:spPr/>
    </dgm:pt>
    <dgm:pt modelId="{3351A39E-5ECB-4552-975F-2F561F94062A}">
      <dgm:prSet phldrT="[Text]"/>
      <dgm:spPr/>
      <dgm:t>
        <a:bodyPr/>
        <a:lstStyle/>
        <a:p>
          <a:r>
            <a:rPr lang="en-US"/>
            <a:t>energy efficiency + weatherization </a:t>
          </a:r>
        </a:p>
      </dgm:t>
    </dgm:pt>
    <dgm:pt modelId="{6F5845FC-6D87-49FF-BAB3-18B9CEA22EC8}" type="parTrans" cxnId="{ED56DB1E-0CC0-4DAB-B12D-FE5EC5EDAC93}">
      <dgm:prSet/>
      <dgm:spPr/>
      <dgm:t>
        <a:bodyPr/>
        <a:lstStyle/>
        <a:p>
          <a:endParaRPr lang="en-US"/>
        </a:p>
      </dgm:t>
    </dgm:pt>
    <dgm:pt modelId="{1C408C99-6D8F-4775-9365-1892004C7258}" type="sibTrans" cxnId="{ED56DB1E-0CC0-4DAB-B12D-FE5EC5EDAC93}">
      <dgm:prSet/>
      <dgm:spPr/>
      <dgm:t>
        <a:bodyPr/>
        <a:lstStyle/>
        <a:p>
          <a:endParaRPr lang="en-US"/>
        </a:p>
      </dgm:t>
    </dgm:pt>
    <dgm:pt modelId="{A0550F0B-3F0C-4A98-BBAF-3A02DC202FA9}">
      <dgm:prSet phldrT="[Text]"/>
      <dgm:spPr/>
      <dgm:t>
        <a:bodyPr/>
        <a:lstStyle/>
        <a:p>
          <a:r>
            <a:rPr lang="en-US"/>
            <a:t>increased renewable electricity</a:t>
          </a:r>
        </a:p>
      </dgm:t>
    </dgm:pt>
    <dgm:pt modelId="{306B5E7C-7485-4C79-9899-3DA41904BF23}" type="parTrans" cxnId="{854A2BA8-C1CA-4350-BE56-C47C78870EE4}">
      <dgm:prSet/>
      <dgm:spPr/>
      <dgm:t>
        <a:bodyPr/>
        <a:lstStyle/>
        <a:p>
          <a:endParaRPr lang="en-US"/>
        </a:p>
      </dgm:t>
    </dgm:pt>
    <dgm:pt modelId="{A34ED164-FABA-4D93-BEB0-1EE760B7724D}" type="sibTrans" cxnId="{854A2BA8-C1CA-4350-BE56-C47C78870EE4}">
      <dgm:prSet/>
      <dgm:spPr/>
      <dgm:t>
        <a:bodyPr/>
        <a:lstStyle/>
        <a:p>
          <a:endParaRPr lang="en-US"/>
        </a:p>
      </dgm:t>
    </dgm:pt>
    <dgm:pt modelId="{C06F00B0-392D-4A1B-AF92-1D0A608A4A4F}">
      <dgm:prSet phldrT="[Text]"/>
      <dgm:spPr/>
      <dgm:t>
        <a:bodyPr/>
        <a:lstStyle/>
        <a:p>
          <a:r>
            <a:rPr lang="en-US"/>
            <a:t>highly efficient heating and cooling technology</a:t>
          </a:r>
        </a:p>
      </dgm:t>
    </dgm:pt>
    <dgm:pt modelId="{D6A0097B-3D7F-4890-8A3B-65E604FC8DAD}" type="parTrans" cxnId="{5BD60DEA-4DE3-45B6-A4E3-AE157C0715ED}">
      <dgm:prSet/>
      <dgm:spPr/>
      <dgm:t>
        <a:bodyPr/>
        <a:lstStyle/>
        <a:p>
          <a:endParaRPr lang="en-US"/>
        </a:p>
      </dgm:t>
    </dgm:pt>
    <dgm:pt modelId="{48CB26EB-060F-4D6A-AD2E-9FF93D3DE44B}" type="sibTrans" cxnId="{5BD60DEA-4DE3-45B6-A4E3-AE157C0715ED}">
      <dgm:prSet/>
      <dgm:spPr/>
      <dgm:t>
        <a:bodyPr/>
        <a:lstStyle/>
        <a:p>
          <a:endParaRPr lang="en-US"/>
        </a:p>
      </dgm:t>
    </dgm:pt>
    <dgm:pt modelId="{1B45F7DA-E651-48B7-A7D1-5140CFD76960}">
      <dgm:prSet phldrT="[Text]"/>
      <dgm:spPr/>
      <dgm:t>
        <a:bodyPr/>
        <a:lstStyle/>
        <a:p>
          <a:r>
            <a:rPr lang="en-US"/>
            <a:t>=  dramatically decarbonized and electrified building sector</a:t>
          </a:r>
        </a:p>
      </dgm:t>
    </dgm:pt>
    <dgm:pt modelId="{AC89D55E-36C4-49EB-95C6-080B2F362C62}" type="parTrans" cxnId="{E5C1AF64-2EA5-4B41-98A6-D06080E1E0D3}">
      <dgm:prSet/>
      <dgm:spPr/>
      <dgm:t>
        <a:bodyPr/>
        <a:lstStyle/>
        <a:p>
          <a:endParaRPr lang="en-US"/>
        </a:p>
      </dgm:t>
    </dgm:pt>
    <dgm:pt modelId="{E5742AA3-E633-4E72-8CC5-7D465B3E08C1}" type="sibTrans" cxnId="{E5C1AF64-2EA5-4B41-98A6-D06080E1E0D3}">
      <dgm:prSet/>
      <dgm:spPr/>
      <dgm:t>
        <a:bodyPr/>
        <a:lstStyle/>
        <a:p>
          <a:endParaRPr lang="en-US"/>
        </a:p>
      </dgm:t>
    </dgm:pt>
    <dgm:pt modelId="{3E192EC7-D111-4B98-85C5-A8484A8C6A32}" type="pres">
      <dgm:prSet presAssocID="{1EF86AE0-2AF4-40CA-AE71-8E191C0A5658}" presName="Name0" presStyleCnt="0">
        <dgm:presLayoutVars>
          <dgm:dir/>
          <dgm:resizeHandles val="exact"/>
        </dgm:presLayoutVars>
      </dgm:prSet>
      <dgm:spPr/>
    </dgm:pt>
    <dgm:pt modelId="{D9D2F7A3-8911-40CC-B4CF-D23F0F6CDE8D}" type="pres">
      <dgm:prSet presAssocID="{3351A39E-5ECB-4552-975F-2F561F94062A}" presName="node" presStyleLbl="node1" presStyleIdx="0" presStyleCnt="4">
        <dgm:presLayoutVars>
          <dgm:bulletEnabled val="1"/>
        </dgm:presLayoutVars>
      </dgm:prSet>
      <dgm:spPr/>
      <dgm:t>
        <a:bodyPr/>
        <a:lstStyle/>
        <a:p>
          <a:endParaRPr lang="en-US"/>
        </a:p>
      </dgm:t>
    </dgm:pt>
    <dgm:pt modelId="{EF67C616-47B4-42BC-AE02-819B26E1C577}" type="pres">
      <dgm:prSet presAssocID="{1C408C99-6D8F-4775-9365-1892004C7258}" presName="sibTrans" presStyleLbl="sibTrans2D1" presStyleIdx="0" presStyleCnt="3"/>
      <dgm:spPr/>
      <dgm:t>
        <a:bodyPr/>
        <a:lstStyle/>
        <a:p>
          <a:endParaRPr lang="en-US"/>
        </a:p>
      </dgm:t>
    </dgm:pt>
    <dgm:pt modelId="{E46DEDCC-E1E4-464B-89C6-23C8E1F5EB79}" type="pres">
      <dgm:prSet presAssocID="{1C408C99-6D8F-4775-9365-1892004C7258}" presName="connectorText" presStyleLbl="sibTrans2D1" presStyleIdx="0" presStyleCnt="3"/>
      <dgm:spPr/>
      <dgm:t>
        <a:bodyPr/>
        <a:lstStyle/>
        <a:p>
          <a:endParaRPr lang="en-US"/>
        </a:p>
      </dgm:t>
    </dgm:pt>
    <dgm:pt modelId="{6FA744B0-429F-41B8-A836-F1D5C6C6A24C}" type="pres">
      <dgm:prSet presAssocID="{A0550F0B-3F0C-4A98-BBAF-3A02DC202FA9}" presName="node" presStyleLbl="node1" presStyleIdx="1" presStyleCnt="4">
        <dgm:presLayoutVars>
          <dgm:bulletEnabled val="1"/>
        </dgm:presLayoutVars>
      </dgm:prSet>
      <dgm:spPr/>
      <dgm:t>
        <a:bodyPr/>
        <a:lstStyle/>
        <a:p>
          <a:endParaRPr lang="en-US"/>
        </a:p>
      </dgm:t>
    </dgm:pt>
    <dgm:pt modelId="{E9033DA2-7308-4CEF-A3FF-7E62E5A1872E}" type="pres">
      <dgm:prSet presAssocID="{A34ED164-FABA-4D93-BEB0-1EE760B7724D}" presName="sibTrans" presStyleLbl="sibTrans2D1" presStyleIdx="1" presStyleCnt="3"/>
      <dgm:spPr/>
      <dgm:t>
        <a:bodyPr/>
        <a:lstStyle/>
        <a:p>
          <a:endParaRPr lang="en-US"/>
        </a:p>
      </dgm:t>
    </dgm:pt>
    <dgm:pt modelId="{9A9FA535-A2E5-4405-AA6B-B3EC475DC9EB}" type="pres">
      <dgm:prSet presAssocID="{A34ED164-FABA-4D93-BEB0-1EE760B7724D}" presName="connectorText" presStyleLbl="sibTrans2D1" presStyleIdx="1" presStyleCnt="3"/>
      <dgm:spPr/>
      <dgm:t>
        <a:bodyPr/>
        <a:lstStyle/>
        <a:p>
          <a:endParaRPr lang="en-US"/>
        </a:p>
      </dgm:t>
    </dgm:pt>
    <dgm:pt modelId="{7A1AD3B2-9B54-4B7C-8E0A-8285CF2041D0}" type="pres">
      <dgm:prSet presAssocID="{C06F00B0-392D-4A1B-AF92-1D0A608A4A4F}" presName="node" presStyleLbl="node1" presStyleIdx="2" presStyleCnt="4">
        <dgm:presLayoutVars>
          <dgm:bulletEnabled val="1"/>
        </dgm:presLayoutVars>
      </dgm:prSet>
      <dgm:spPr/>
      <dgm:t>
        <a:bodyPr/>
        <a:lstStyle/>
        <a:p>
          <a:endParaRPr lang="en-US"/>
        </a:p>
      </dgm:t>
    </dgm:pt>
    <dgm:pt modelId="{EF085921-570B-476E-B2E4-6C88658CF7FE}" type="pres">
      <dgm:prSet presAssocID="{48CB26EB-060F-4D6A-AD2E-9FF93D3DE44B}" presName="sibTrans" presStyleLbl="sibTrans2D1" presStyleIdx="2" presStyleCnt="3"/>
      <dgm:spPr/>
      <dgm:t>
        <a:bodyPr/>
        <a:lstStyle/>
        <a:p>
          <a:endParaRPr lang="en-US"/>
        </a:p>
      </dgm:t>
    </dgm:pt>
    <dgm:pt modelId="{93AC17DE-11CC-476C-8719-59CB9085297D}" type="pres">
      <dgm:prSet presAssocID="{48CB26EB-060F-4D6A-AD2E-9FF93D3DE44B}" presName="connectorText" presStyleLbl="sibTrans2D1" presStyleIdx="2" presStyleCnt="3"/>
      <dgm:spPr/>
      <dgm:t>
        <a:bodyPr/>
        <a:lstStyle/>
        <a:p>
          <a:endParaRPr lang="en-US"/>
        </a:p>
      </dgm:t>
    </dgm:pt>
    <dgm:pt modelId="{383B51D2-0D84-4592-B2F9-311350DE887F}" type="pres">
      <dgm:prSet presAssocID="{1B45F7DA-E651-48B7-A7D1-5140CFD76960}" presName="node" presStyleLbl="node1" presStyleIdx="3" presStyleCnt="4">
        <dgm:presLayoutVars>
          <dgm:bulletEnabled val="1"/>
        </dgm:presLayoutVars>
      </dgm:prSet>
      <dgm:spPr/>
      <dgm:t>
        <a:bodyPr/>
        <a:lstStyle/>
        <a:p>
          <a:endParaRPr lang="en-US"/>
        </a:p>
      </dgm:t>
    </dgm:pt>
  </dgm:ptLst>
  <dgm:cxnLst>
    <dgm:cxn modelId="{854A2BA8-C1CA-4350-BE56-C47C78870EE4}" srcId="{1EF86AE0-2AF4-40CA-AE71-8E191C0A5658}" destId="{A0550F0B-3F0C-4A98-BBAF-3A02DC202FA9}" srcOrd="1" destOrd="0" parTransId="{306B5E7C-7485-4C79-9899-3DA41904BF23}" sibTransId="{A34ED164-FABA-4D93-BEB0-1EE760B7724D}"/>
    <dgm:cxn modelId="{C1E4CA88-E010-2946-9621-C1A35D12540A}" type="presOf" srcId="{A34ED164-FABA-4D93-BEB0-1EE760B7724D}" destId="{9A9FA535-A2E5-4405-AA6B-B3EC475DC9EB}" srcOrd="1" destOrd="0" presId="urn:microsoft.com/office/officeart/2005/8/layout/process1"/>
    <dgm:cxn modelId="{55EA30E7-42C5-254A-A55C-D32ADB6A4C8A}" type="presOf" srcId="{1C408C99-6D8F-4775-9365-1892004C7258}" destId="{E46DEDCC-E1E4-464B-89C6-23C8E1F5EB79}" srcOrd="1" destOrd="0" presId="urn:microsoft.com/office/officeart/2005/8/layout/process1"/>
    <dgm:cxn modelId="{9F27B46D-1667-9D46-91F2-5F539E4C81C9}" type="presOf" srcId="{3351A39E-5ECB-4552-975F-2F561F94062A}" destId="{D9D2F7A3-8911-40CC-B4CF-D23F0F6CDE8D}" srcOrd="0" destOrd="0" presId="urn:microsoft.com/office/officeart/2005/8/layout/process1"/>
    <dgm:cxn modelId="{9DBF5092-0B02-8642-9CD3-3E96CD609A5B}" type="presOf" srcId="{C06F00B0-392D-4A1B-AF92-1D0A608A4A4F}" destId="{7A1AD3B2-9B54-4B7C-8E0A-8285CF2041D0}" srcOrd="0" destOrd="0" presId="urn:microsoft.com/office/officeart/2005/8/layout/process1"/>
    <dgm:cxn modelId="{5F13D42D-7007-C04E-98E7-B8DA5196B7FB}" type="presOf" srcId="{A0550F0B-3F0C-4A98-BBAF-3A02DC202FA9}" destId="{6FA744B0-429F-41B8-A836-F1D5C6C6A24C}" srcOrd="0" destOrd="0" presId="urn:microsoft.com/office/officeart/2005/8/layout/process1"/>
    <dgm:cxn modelId="{E9DC3092-737A-8F43-AB12-314BDAB65614}" type="presOf" srcId="{1EF86AE0-2AF4-40CA-AE71-8E191C0A5658}" destId="{3E192EC7-D111-4B98-85C5-A8484A8C6A32}" srcOrd="0" destOrd="0" presId="urn:microsoft.com/office/officeart/2005/8/layout/process1"/>
    <dgm:cxn modelId="{1934B111-409E-9C46-B6BD-A6CE4E944956}" type="presOf" srcId="{48CB26EB-060F-4D6A-AD2E-9FF93D3DE44B}" destId="{93AC17DE-11CC-476C-8719-59CB9085297D}" srcOrd="1" destOrd="0" presId="urn:microsoft.com/office/officeart/2005/8/layout/process1"/>
    <dgm:cxn modelId="{ED56DB1E-0CC0-4DAB-B12D-FE5EC5EDAC93}" srcId="{1EF86AE0-2AF4-40CA-AE71-8E191C0A5658}" destId="{3351A39E-5ECB-4552-975F-2F561F94062A}" srcOrd="0" destOrd="0" parTransId="{6F5845FC-6D87-49FF-BAB3-18B9CEA22EC8}" sibTransId="{1C408C99-6D8F-4775-9365-1892004C7258}"/>
    <dgm:cxn modelId="{792CAED5-2F82-F348-B04F-73C09B6B2A8A}" type="presOf" srcId="{1B45F7DA-E651-48B7-A7D1-5140CFD76960}" destId="{383B51D2-0D84-4592-B2F9-311350DE887F}" srcOrd="0" destOrd="0" presId="urn:microsoft.com/office/officeart/2005/8/layout/process1"/>
    <dgm:cxn modelId="{E5C1AF64-2EA5-4B41-98A6-D06080E1E0D3}" srcId="{1EF86AE0-2AF4-40CA-AE71-8E191C0A5658}" destId="{1B45F7DA-E651-48B7-A7D1-5140CFD76960}" srcOrd="3" destOrd="0" parTransId="{AC89D55E-36C4-49EB-95C6-080B2F362C62}" sibTransId="{E5742AA3-E633-4E72-8CC5-7D465B3E08C1}"/>
    <dgm:cxn modelId="{718EE52D-3796-7F47-A4EB-09D7AF32F32F}" type="presOf" srcId="{A34ED164-FABA-4D93-BEB0-1EE760B7724D}" destId="{E9033DA2-7308-4CEF-A3FF-7E62E5A1872E}" srcOrd="0" destOrd="0" presId="urn:microsoft.com/office/officeart/2005/8/layout/process1"/>
    <dgm:cxn modelId="{6E641478-B9C8-3E46-A591-A406F8F50751}" type="presOf" srcId="{1C408C99-6D8F-4775-9365-1892004C7258}" destId="{EF67C616-47B4-42BC-AE02-819B26E1C577}" srcOrd="0" destOrd="0" presId="urn:microsoft.com/office/officeart/2005/8/layout/process1"/>
    <dgm:cxn modelId="{5BD60DEA-4DE3-45B6-A4E3-AE157C0715ED}" srcId="{1EF86AE0-2AF4-40CA-AE71-8E191C0A5658}" destId="{C06F00B0-392D-4A1B-AF92-1D0A608A4A4F}" srcOrd="2" destOrd="0" parTransId="{D6A0097B-3D7F-4890-8A3B-65E604FC8DAD}" sibTransId="{48CB26EB-060F-4D6A-AD2E-9FF93D3DE44B}"/>
    <dgm:cxn modelId="{A42D1FCA-CE5B-B742-B9E0-4F780ABC3BEA}" type="presOf" srcId="{48CB26EB-060F-4D6A-AD2E-9FF93D3DE44B}" destId="{EF085921-570B-476E-B2E4-6C88658CF7FE}" srcOrd="0" destOrd="0" presId="urn:microsoft.com/office/officeart/2005/8/layout/process1"/>
    <dgm:cxn modelId="{263EFCE2-1718-7245-9AD8-4C7F73DD5A80}" type="presParOf" srcId="{3E192EC7-D111-4B98-85C5-A8484A8C6A32}" destId="{D9D2F7A3-8911-40CC-B4CF-D23F0F6CDE8D}" srcOrd="0" destOrd="0" presId="urn:microsoft.com/office/officeart/2005/8/layout/process1"/>
    <dgm:cxn modelId="{C45E4557-46F1-AC4E-A4C0-7DF7EFFCFAA2}" type="presParOf" srcId="{3E192EC7-D111-4B98-85C5-A8484A8C6A32}" destId="{EF67C616-47B4-42BC-AE02-819B26E1C577}" srcOrd="1" destOrd="0" presId="urn:microsoft.com/office/officeart/2005/8/layout/process1"/>
    <dgm:cxn modelId="{5F776E2C-ECD2-E74D-BFBC-340186AF0E28}" type="presParOf" srcId="{EF67C616-47B4-42BC-AE02-819B26E1C577}" destId="{E46DEDCC-E1E4-464B-89C6-23C8E1F5EB79}" srcOrd="0" destOrd="0" presId="urn:microsoft.com/office/officeart/2005/8/layout/process1"/>
    <dgm:cxn modelId="{1780CAF8-F118-834E-94A9-DADB6CE9BF13}" type="presParOf" srcId="{3E192EC7-D111-4B98-85C5-A8484A8C6A32}" destId="{6FA744B0-429F-41B8-A836-F1D5C6C6A24C}" srcOrd="2" destOrd="0" presId="urn:microsoft.com/office/officeart/2005/8/layout/process1"/>
    <dgm:cxn modelId="{4D350940-DF3D-A94F-8D96-6B1A5535083F}" type="presParOf" srcId="{3E192EC7-D111-4B98-85C5-A8484A8C6A32}" destId="{E9033DA2-7308-4CEF-A3FF-7E62E5A1872E}" srcOrd="3" destOrd="0" presId="urn:microsoft.com/office/officeart/2005/8/layout/process1"/>
    <dgm:cxn modelId="{334D62CE-A909-E540-A874-6AA1B6F0063B}" type="presParOf" srcId="{E9033DA2-7308-4CEF-A3FF-7E62E5A1872E}" destId="{9A9FA535-A2E5-4405-AA6B-B3EC475DC9EB}" srcOrd="0" destOrd="0" presId="urn:microsoft.com/office/officeart/2005/8/layout/process1"/>
    <dgm:cxn modelId="{58289A64-E495-3547-A7E7-854F24D88B9A}" type="presParOf" srcId="{3E192EC7-D111-4B98-85C5-A8484A8C6A32}" destId="{7A1AD3B2-9B54-4B7C-8E0A-8285CF2041D0}" srcOrd="4" destOrd="0" presId="urn:microsoft.com/office/officeart/2005/8/layout/process1"/>
    <dgm:cxn modelId="{81F9031C-D679-5B40-96D5-F116F80D782E}" type="presParOf" srcId="{3E192EC7-D111-4B98-85C5-A8484A8C6A32}" destId="{EF085921-570B-476E-B2E4-6C88658CF7FE}" srcOrd="5" destOrd="0" presId="urn:microsoft.com/office/officeart/2005/8/layout/process1"/>
    <dgm:cxn modelId="{A044D2D0-03F9-DD4F-9C92-CE799F86E161}" type="presParOf" srcId="{EF085921-570B-476E-B2E4-6C88658CF7FE}" destId="{93AC17DE-11CC-476C-8719-59CB9085297D}" srcOrd="0" destOrd="0" presId="urn:microsoft.com/office/officeart/2005/8/layout/process1"/>
    <dgm:cxn modelId="{49D78E12-CEB0-D94A-92C6-9A32C459484C}" type="presParOf" srcId="{3E192EC7-D111-4B98-85C5-A8484A8C6A32}" destId="{383B51D2-0D84-4592-B2F9-311350DE887F}" srcOrd="6" destOrd="0" presId="urn:microsoft.com/office/officeart/2005/8/layout/process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D2F7A3-8911-40CC-B4CF-D23F0F6CDE8D}">
      <dsp:nvSpPr>
        <dsp:cNvPr id="0" name=""/>
        <dsp:cNvSpPr/>
      </dsp:nvSpPr>
      <dsp:spPr>
        <a:xfrm>
          <a:off x="2411" y="200721"/>
          <a:ext cx="1054149" cy="7510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energy efficiency + weatherization </a:t>
          </a:r>
        </a:p>
      </dsp:txBody>
      <dsp:txXfrm>
        <a:off x="24409" y="222719"/>
        <a:ext cx="1010153" cy="707085"/>
      </dsp:txXfrm>
    </dsp:sp>
    <dsp:sp modelId="{EF67C616-47B4-42BC-AE02-819B26E1C577}">
      <dsp:nvSpPr>
        <dsp:cNvPr id="0" name=""/>
        <dsp:cNvSpPr/>
      </dsp:nvSpPr>
      <dsp:spPr>
        <a:xfrm>
          <a:off x="1161975" y="445547"/>
          <a:ext cx="223479" cy="26142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a:off x="1161975" y="497833"/>
        <a:ext cx="156435" cy="156857"/>
      </dsp:txXfrm>
    </dsp:sp>
    <dsp:sp modelId="{6FA744B0-429F-41B8-A836-F1D5C6C6A24C}">
      <dsp:nvSpPr>
        <dsp:cNvPr id="0" name=""/>
        <dsp:cNvSpPr/>
      </dsp:nvSpPr>
      <dsp:spPr>
        <a:xfrm>
          <a:off x="1478220" y="200721"/>
          <a:ext cx="1054149" cy="7510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increased renewable electricity</a:t>
          </a:r>
        </a:p>
      </dsp:txBody>
      <dsp:txXfrm>
        <a:off x="1500218" y="222719"/>
        <a:ext cx="1010153" cy="707085"/>
      </dsp:txXfrm>
    </dsp:sp>
    <dsp:sp modelId="{E9033DA2-7308-4CEF-A3FF-7E62E5A1872E}">
      <dsp:nvSpPr>
        <dsp:cNvPr id="0" name=""/>
        <dsp:cNvSpPr/>
      </dsp:nvSpPr>
      <dsp:spPr>
        <a:xfrm>
          <a:off x="2637785" y="445547"/>
          <a:ext cx="223479" cy="26142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a:off x="2637785" y="497833"/>
        <a:ext cx="156435" cy="156857"/>
      </dsp:txXfrm>
    </dsp:sp>
    <dsp:sp modelId="{7A1AD3B2-9B54-4B7C-8E0A-8285CF2041D0}">
      <dsp:nvSpPr>
        <dsp:cNvPr id="0" name=""/>
        <dsp:cNvSpPr/>
      </dsp:nvSpPr>
      <dsp:spPr>
        <a:xfrm>
          <a:off x="2954029" y="200721"/>
          <a:ext cx="1054149" cy="7510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highly efficient heating and cooling technology</a:t>
          </a:r>
        </a:p>
      </dsp:txBody>
      <dsp:txXfrm>
        <a:off x="2976027" y="222719"/>
        <a:ext cx="1010153" cy="707085"/>
      </dsp:txXfrm>
    </dsp:sp>
    <dsp:sp modelId="{EF085921-570B-476E-B2E4-6C88658CF7FE}">
      <dsp:nvSpPr>
        <dsp:cNvPr id="0" name=""/>
        <dsp:cNvSpPr/>
      </dsp:nvSpPr>
      <dsp:spPr>
        <a:xfrm>
          <a:off x="4113594" y="445547"/>
          <a:ext cx="223479" cy="26142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a:off x="4113594" y="497833"/>
        <a:ext cx="156435" cy="156857"/>
      </dsp:txXfrm>
    </dsp:sp>
    <dsp:sp modelId="{383B51D2-0D84-4592-B2F9-311350DE887F}">
      <dsp:nvSpPr>
        <dsp:cNvPr id="0" name=""/>
        <dsp:cNvSpPr/>
      </dsp:nvSpPr>
      <dsp:spPr>
        <a:xfrm>
          <a:off x="4429839" y="200721"/>
          <a:ext cx="1054149" cy="7510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  dramatically decarbonized and electrified building sector</a:t>
          </a:r>
        </a:p>
      </dsp:txBody>
      <dsp:txXfrm>
        <a:off x="4451837" y="222719"/>
        <a:ext cx="1010153" cy="70708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0.61125</cdr:x>
      <cdr:y>0.27845</cdr:y>
    </cdr:from>
    <cdr:to>
      <cdr:x>0.98128</cdr:x>
      <cdr:y>0.41649</cdr:y>
    </cdr:to>
    <cdr:sp macro="" textlink="">
      <cdr:nvSpPr>
        <cdr:cNvPr id="2" name="TextBox 1">
          <a:extLst xmlns:a="http://schemas.openxmlformats.org/drawingml/2006/main">
            <a:ext uri="{FF2B5EF4-FFF2-40B4-BE49-F238E27FC236}">
              <a16:creationId xmlns="" xmlns:a16="http://schemas.microsoft.com/office/drawing/2014/main" id="{CA1D902C-9D62-405C-BD1E-077C9016A1D8}"/>
            </a:ext>
          </a:extLst>
        </cdr:cNvPr>
        <cdr:cNvSpPr txBox="1"/>
      </cdr:nvSpPr>
      <cdr:spPr>
        <a:xfrm xmlns:a="http://schemas.openxmlformats.org/drawingml/2006/main">
          <a:off x="3848429" y="628404"/>
          <a:ext cx="2329733" cy="31152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solidFill>
                <a:schemeClr val="accent4"/>
              </a:solidFill>
              <a:latin typeface="Verdana" panose="020B0604030504040204" pitchFamily="34" charset="0"/>
              <a:ea typeface="Verdana" panose="020B0604030504040204" pitchFamily="34" charset="0"/>
              <a:cs typeface="Verdana" panose="020B0604030504040204" pitchFamily="34" charset="0"/>
            </a:rPr>
            <a:t>200,000</a:t>
          </a:r>
          <a:r>
            <a:rPr lang="en-US" sz="1000" b="1" baseline="0">
              <a:solidFill>
                <a:schemeClr val="accent4"/>
              </a:solidFill>
              <a:latin typeface="Verdana" panose="020B0604030504040204" pitchFamily="34" charset="0"/>
              <a:ea typeface="Verdana" panose="020B0604030504040204" pitchFamily="34" charset="0"/>
              <a:cs typeface="Verdana" panose="020B0604030504040204" pitchFamily="34" charset="0"/>
            </a:rPr>
            <a:t> </a:t>
          </a:r>
          <a:r>
            <a:rPr lang="en-US" sz="1000" b="1">
              <a:solidFill>
                <a:schemeClr val="accent4"/>
              </a:solidFill>
              <a:latin typeface="Verdana" panose="020B0604030504040204" pitchFamily="34" charset="0"/>
              <a:ea typeface="Verdana" panose="020B0604030504040204" pitchFamily="34" charset="0"/>
              <a:cs typeface="Verdana" panose="020B0604030504040204" pitchFamily="34" charset="0"/>
            </a:rPr>
            <a:t>mtCO</a:t>
          </a:r>
          <a:r>
            <a:rPr lang="en-US" sz="1000" b="1" baseline="-25000">
              <a:solidFill>
                <a:schemeClr val="accent4"/>
              </a:solidFill>
              <a:latin typeface="Verdana" panose="020B0604030504040204" pitchFamily="34" charset="0"/>
              <a:ea typeface="Verdana" panose="020B0604030504040204" pitchFamily="34" charset="0"/>
              <a:cs typeface="Verdana" panose="020B0604030504040204" pitchFamily="34" charset="0"/>
            </a:rPr>
            <a:t>2</a:t>
          </a:r>
          <a:r>
            <a:rPr lang="en-US" sz="1000" b="1">
              <a:solidFill>
                <a:schemeClr val="accent4"/>
              </a:solidFill>
              <a:latin typeface="Verdana" panose="020B0604030504040204" pitchFamily="34" charset="0"/>
              <a:ea typeface="Verdana" panose="020B0604030504040204" pitchFamily="34" charset="0"/>
              <a:cs typeface="Verdana" panose="020B0604030504040204" pitchFamily="34" charset="0"/>
            </a:rPr>
            <a:t>e</a:t>
          </a:r>
          <a:r>
            <a:rPr lang="en-US" sz="1000" b="1" baseline="0">
              <a:solidFill>
                <a:schemeClr val="accent4"/>
              </a:solidFill>
              <a:latin typeface="Verdana" panose="020B0604030504040204" pitchFamily="34" charset="0"/>
              <a:ea typeface="Verdana" panose="020B0604030504040204" pitchFamily="34" charset="0"/>
              <a:cs typeface="Verdana" panose="020B0604030504040204" pitchFamily="34" charset="0"/>
            </a:rPr>
            <a:t> saved by 2050</a:t>
          </a:r>
          <a:endParaRPr lang="en-US" sz="1000" b="1">
            <a:solidFill>
              <a:schemeClr val="accent4"/>
            </a:solidFill>
            <a:latin typeface="Verdana" panose="020B0604030504040204" pitchFamily="34" charset="0"/>
            <a:ea typeface="Verdana" panose="020B0604030504040204" pitchFamily="34" charset="0"/>
            <a:cs typeface="Verdana" panose="020B0604030504040204"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Tag name="DgLegalInformation01"/>
</root>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7D43C-D927-4FDE-90C3-5A0617653996}">
  <ds:schemaRefs/>
</ds:datastoreItem>
</file>

<file path=customXml/itemProps2.xml><?xml version="1.0" encoding="utf-8"?>
<ds:datastoreItem xmlns:ds="http://schemas.openxmlformats.org/officeDocument/2006/customXml" ds:itemID="{A47493E1-FD36-9741-B2C8-AD0C99F55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6058</Words>
  <Characters>34533</Characters>
  <Application>Microsoft Macintosh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Moe, Sarah</dc:creator>
  <cp:lastModifiedBy>Peyton Jones</cp:lastModifiedBy>
  <cp:revision>2</cp:revision>
  <cp:lastPrinted>2017-12-18T19:55:00Z</cp:lastPrinted>
  <dcterms:created xsi:type="dcterms:W3CDTF">2018-01-12T19:11:00Z</dcterms:created>
  <dcterms:modified xsi:type="dcterms:W3CDTF">2018-01-12T19:11:00Z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B build">
    <vt:lpwstr>20171019 143932</vt:lpwstr>
  </property>
  <property fmtid="{D5CDD505-2E9C-101B-9397-08002B2CF9AE}" pid="3" name="TB filename">
    <vt:lpwstr>COR009.dotx</vt:lpwstr>
  </property>
  <property fmtid="{D5CDD505-2E9C-101B-9397-08002B2CF9AE}" pid="4" name="TB id">
    <vt:lpwstr>7240</vt:lpwstr>
  </property>
  <property fmtid="{D5CDD505-2E9C-101B-9397-08002B2CF9AE}" pid="5" name="TB name">
    <vt:lpwstr>DNV GL - COR 009</vt:lpwstr>
  </property>
</Properties>
</file>